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000" w:type="dxa"/>
        <w:tblCellSpacing w:w="60" w:type="dxa"/>
        <w:tblInd w:w="130" w:type="dxa"/>
        <w:tblBorders>
          <w:top w:val="nil"/>
          <w:left w:val="nil"/>
          <w:bottom w:val="nil"/>
          <w:right w:val="nil"/>
          <w:insideH w:val="nil"/>
          <w:insideV w:val="nil"/>
        </w:tblBorders>
        <w:shd w:val="clear" w:color="auto" w:fill="E7F0F9"/>
        <w:tblCellMar>
          <w:left w:w="10" w:type="dxa"/>
          <w:right w:w="10" w:type="dxa"/>
        </w:tblCellMar>
        <w:tblLook w:val="0000" w:firstRow="0" w:lastRow="0" w:firstColumn="0" w:lastColumn="0" w:noHBand="0" w:noVBand="0"/>
      </w:tblPr>
      <w:tblGrid>
        <w:gridCol w:w="2254"/>
        <w:gridCol w:w="6746"/>
      </w:tblGrid>
      <w:tr w:rsidR="002A6F4E">
        <w:trPr>
          <w:tblCellSpacing w:w="60" w:type="dxa"/>
        </w:trPr>
        <w:tc>
          <w:tcPr>
            <w:tcW w:w="1200" w:type="pct"/>
            <w:shd w:val="clear" w:color="auto" w:fill="E7F0F9"/>
          </w:tcPr>
          <w:p w:rsidR="002A6F4E" w:rsidRDefault="00D94E62">
            <w:pPr>
              <w:spacing w:after="0" w:line="240" w:lineRule="auto"/>
            </w:pPr>
            <w:r>
              <w:rPr>
                <w:b/>
              </w:rPr>
              <w:t>RKP broj</w:t>
            </w:r>
          </w:p>
        </w:tc>
        <w:tc>
          <w:tcPr>
            <w:tcW w:w="0" w:type="auto"/>
            <w:shd w:val="clear" w:color="auto" w:fill="E7F0F9"/>
          </w:tcPr>
          <w:p w:rsidR="002A6F4E" w:rsidRDefault="00D94E62">
            <w:pPr>
              <w:spacing w:after="0" w:line="240" w:lineRule="auto"/>
            </w:pPr>
            <w:r>
              <w:t>30402</w:t>
            </w:r>
          </w:p>
        </w:tc>
      </w:tr>
      <w:tr w:rsidR="002A6F4E">
        <w:trPr>
          <w:tblCellSpacing w:w="60" w:type="dxa"/>
        </w:trPr>
        <w:tc>
          <w:tcPr>
            <w:tcW w:w="1200" w:type="pct"/>
            <w:shd w:val="clear" w:color="auto" w:fill="E7F0F9"/>
          </w:tcPr>
          <w:p w:rsidR="002A6F4E" w:rsidRDefault="00D94E62">
            <w:pPr>
              <w:spacing w:after="0" w:line="240" w:lineRule="auto"/>
            </w:pPr>
            <w:r>
              <w:rPr>
                <w:b/>
              </w:rPr>
              <w:t>Naziv obveznika</w:t>
            </w:r>
          </w:p>
        </w:tc>
        <w:tc>
          <w:tcPr>
            <w:tcW w:w="0" w:type="auto"/>
            <w:shd w:val="clear" w:color="auto" w:fill="E7F0F9"/>
          </w:tcPr>
          <w:p w:rsidR="002A6F4E" w:rsidRDefault="00D94E62">
            <w:pPr>
              <w:spacing w:after="0" w:line="240" w:lineRule="auto"/>
            </w:pPr>
            <w:r>
              <w:t>OPĆINA FUŽINE</w:t>
            </w:r>
          </w:p>
        </w:tc>
      </w:tr>
      <w:tr w:rsidR="002A6F4E">
        <w:trPr>
          <w:tblCellSpacing w:w="60" w:type="dxa"/>
        </w:trPr>
        <w:tc>
          <w:tcPr>
            <w:tcW w:w="1200" w:type="pct"/>
            <w:shd w:val="clear" w:color="auto" w:fill="E7F0F9"/>
          </w:tcPr>
          <w:p w:rsidR="002A6F4E" w:rsidRDefault="00D94E62">
            <w:pPr>
              <w:spacing w:after="0" w:line="240" w:lineRule="auto"/>
            </w:pPr>
            <w:r>
              <w:rPr>
                <w:b/>
              </w:rPr>
              <w:t>Razina</w:t>
            </w:r>
          </w:p>
        </w:tc>
        <w:tc>
          <w:tcPr>
            <w:tcW w:w="0" w:type="auto"/>
            <w:shd w:val="clear" w:color="auto" w:fill="E7F0F9"/>
          </w:tcPr>
          <w:p w:rsidR="002A6F4E" w:rsidRDefault="00D94E62">
            <w:pPr>
              <w:spacing w:after="0" w:line="240" w:lineRule="auto"/>
            </w:pPr>
            <w:r>
              <w:t>22</w:t>
            </w:r>
          </w:p>
        </w:tc>
      </w:tr>
    </w:tbl>
    <w:p w:rsidR="002A6F4E" w:rsidRDefault="00D94E62">
      <w:r>
        <w:br/>
      </w:r>
    </w:p>
    <w:p w:rsidR="002A6F4E" w:rsidRDefault="00D94E62">
      <w:pPr>
        <w:spacing w:line="240" w:lineRule="auto"/>
        <w:jc w:val="center"/>
      </w:pPr>
      <w:r>
        <w:rPr>
          <w:b/>
          <w:sz w:val="28"/>
        </w:rPr>
        <w:t>BILJEŠKE UZ FINANCIJSKE IZVJEŠTAJE</w:t>
      </w:r>
    </w:p>
    <w:p w:rsidR="002A6F4E" w:rsidRDefault="00D94E62">
      <w:pPr>
        <w:spacing w:line="240" w:lineRule="auto"/>
        <w:jc w:val="center"/>
      </w:pPr>
      <w:r>
        <w:rPr>
          <w:b/>
          <w:sz w:val="28"/>
        </w:rPr>
        <w:t>ZA RAZDOBLJE</w:t>
      </w:r>
    </w:p>
    <w:p w:rsidR="002A6F4E" w:rsidRDefault="00D94E62">
      <w:pPr>
        <w:spacing w:line="240" w:lineRule="auto"/>
        <w:jc w:val="center"/>
      </w:pPr>
      <w:r>
        <w:rPr>
          <w:b/>
          <w:sz w:val="28"/>
        </w:rPr>
        <w:t>I - XII 2025.</w:t>
      </w:r>
    </w:p>
    <w:p w:rsidR="002A6F4E" w:rsidRDefault="002A6F4E"/>
    <w:p w:rsidR="002A6F4E" w:rsidRDefault="00D94E62">
      <w:pPr>
        <w:keepNext/>
        <w:spacing w:line="240" w:lineRule="auto"/>
        <w:jc w:val="center"/>
      </w:pPr>
      <w:r>
        <w:rPr>
          <w:b/>
          <w:sz w:val="28"/>
        </w:rPr>
        <w:t>Izvještaj o prihodima i rashodima, primicima i izdacima</w:t>
      </w:r>
    </w:p>
    <w:p w:rsidR="002A6F4E" w:rsidRDefault="00D94E62">
      <w:pPr>
        <w:keepNext/>
        <w:spacing w:line="240" w:lineRule="auto"/>
        <w:jc w:val="center"/>
      </w:pPr>
      <w:r>
        <w:rPr>
          <w:sz w:val="28"/>
        </w:rPr>
        <w:t>Bilješka 1.</w:t>
      </w:r>
    </w:p>
    <w:tbl>
      <w:tblPr>
        <w:tblW w:w="0" w:type="auto"/>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2A6F4E">
        <w:trPr>
          <w:cantSplit/>
        </w:trPr>
        <w:tc>
          <w:tcPr>
            <w:tcW w:w="700" w:type="dxa"/>
            <w:shd w:val="clear" w:color="auto" w:fill="E7F0F9"/>
            <w:tcMar>
              <w:top w:w="0" w:type="dxa"/>
              <w:bottom w:w="0" w:type="dxa"/>
            </w:tcMar>
            <w:vAlign w:val="center"/>
          </w:tcPr>
          <w:p w:rsidR="002A6F4E" w:rsidRDefault="00D94E62">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2A6F4E" w:rsidRDefault="00D94E62">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2A6F4E" w:rsidRDefault="00D94E62">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2A6F4E" w:rsidRDefault="00D94E62">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2A6F4E" w:rsidRDefault="00D94E62">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2A6F4E" w:rsidRDefault="00D94E62">
            <w:pPr>
              <w:keepNext/>
              <w:keepLines/>
              <w:spacing w:after="0" w:line="240" w:lineRule="auto"/>
              <w:jc w:val="center"/>
            </w:pPr>
            <w:r>
              <w:rPr>
                <w:b/>
                <w:sz w:val="18"/>
              </w:rPr>
              <w:t>Indeks (%)</w:t>
            </w:r>
          </w:p>
        </w:tc>
      </w:tr>
      <w:tr w:rsidR="002A6F4E">
        <w:trPr>
          <w:cantSplit/>
          <w:trHeight w:val="560"/>
        </w:trPr>
        <w:tc>
          <w:tcPr>
            <w:tcW w:w="700" w:type="dxa"/>
            <w:tcMar>
              <w:top w:w="0" w:type="dxa"/>
              <w:bottom w:w="0" w:type="dxa"/>
            </w:tcMar>
            <w:vAlign w:val="center"/>
          </w:tcPr>
          <w:p w:rsidR="002A6F4E" w:rsidRDefault="00D94E62">
            <w:pPr>
              <w:keepNext/>
              <w:keepLines/>
              <w:spacing w:after="0" w:line="240" w:lineRule="auto"/>
            </w:pPr>
            <w:r>
              <w:rPr>
                <w:sz w:val="18"/>
              </w:rPr>
              <w:t>6</w:t>
            </w:r>
          </w:p>
        </w:tc>
        <w:tc>
          <w:tcPr>
            <w:tcW w:w="3180" w:type="dxa"/>
            <w:tcMar>
              <w:top w:w="0" w:type="dxa"/>
              <w:bottom w:w="0" w:type="dxa"/>
            </w:tcMar>
            <w:vAlign w:val="center"/>
          </w:tcPr>
          <w:p w:rsidR="002A6F4E" w:rsidRDefault="00D94E62">
            <w:pPr>
              <w:keepNext/>
              <w:keepLines/>
              <w:spacing w:after="0" w:line="240" w:lineRule="auto"/>
            </w:pPr>
            <w:r>
              <w:rPr>
                <w:sz w:val="18"/>
              </w:rPr>
              <w:t>PRIHODI POSLOVANJA (šifre 61+62+63+64+65+66+67+68)</w:t>
            </w:r>
          </w:p>
        </w:tc>
        <w:tc>
          <w:tcPr>
            <w:tcW w:w="700" w:type="dxa"/>
            <w:tcMar>
              <w:top w:w="0" w:type="dxa"/>
              <w:bottom w:w="0" w:type="dxa"/>
            </w:tcMar>
            <w:vAlign w:val="center"/>
          </w:tcPr>
          <w:p w:rsidR="002A6F4E" w:rsidRDefault="00D94E62">
            <w:pPr>
              <w:keepNext/>
              <w:keepLines/>
              <w:spacing w:after="0" w:line="240" w:lineRule="auto"/>
            </w:pPr>
            <w:r>
              <w:rPr>
                <w:sz w:val="18"/>
              </w:rPr>
              <w:t>6</w:t>
            </w:r>
          </w:p>
        </w:tc>
        <w:tc>
          <w:tcPr>
            <w:tcW w:w="1860" w:type="dxa"/>
            <w:tcMar>
              <w:top w:w="0" w:type="dxa"/>
              <w:bottom w:w="0" w:type="dxa"/>
            </w:tcMar>
            <w:vAlign w:val="center"/>
          </w:tcPr>
          <w:p w:rsidR="002A6F4E" w:rsidRDefault="00D94E62">
            <w:pPr>
              <w:keepNext/>
              <w:keepLines/>
              <w:spacing w:after="0" w:line="240" w:lineRule="auto"/>
              <w:jc w:val="right"/>
            </w:pPr>
            <w:r>
              <w:rPr>
                <w:sz w:val="18"/>
              </w:rPr>
              <w:t>2.580.141,11</w:t>
            </w:r>
          </w:p>
        </w:tc>
        <w:tc>
          <w:tcPr>
            <w:tcW w:w="1860" w:type="dxa"/>
            <w:tcMar>
              <w:top w:w="0" w:type="dxa"/>
              <w:bottom w:w="0" w:type="dxa"/>
            </w:tcMar>
            <w:vAlign w:val="center"/>
          </w:tcPr>
          <w:p w:rsidR="002A6F4E" w:rsidRDefault="00D94E62">
            <w:pPr>
              <w:keepNext/>
              <w:keepLines/>
              <w:spacing w:after="0" w:line="240" w:lineRule="auto"/>
              <w:jc w:val="right"/>
            </w:pPr>
            <w:r>
              <w:rPr>
                <w:sz w:val="18"/>
              </w:rPr>
              <w:t>3.185.778,52</w:t>
            </w:r>
          </w:p>
        </w:tc>
        <w:tc>
          <w:tcPr>
            <w:tcW w:w="700" w:type="dxa"/>
            <w:tcMar>
              <w:top w:w="0" w:type="dxa"/>
              <w:bottom w:w="0" w:type="dxa"/>
            </w:tcMar>
            <w:vAlign w:val="center"/>
          </w:tcPr>
          <w:p w:rsidR="002A6F4E" w:rsidRDefault="00D94E62">
            <w:pPr>
              <w:keepNext/>
              <w:keepLines/>
              <w:spacing w:after="0" w:line="240" w:lineRule="auto"/>
              <w:jc w:val="right"/>
            </w:pPr>
            <w:r>
              <w:rPr>
                <w:sz w:val="18"/>
              </w:rPr>
              <w:t>123,5</w:t>
            </w:r>
          </w:p>
        </w:tc>
      </w:tr>
      <w:tr w:rsidR="002A6F4E">
        <w:trPr>
          <w:cantSplit/>
          <w:trHeight w:val="560"/>
        </w:trPr>
        <w:tc>
          <w:tcPr>
            <w:tcW w:w="700" w:type="dxa"/>
            <w:tcMar>
              <w:top w:w="0" w:type="dxa"/>
              <w:bottom w:w="0" w:type="dxa"/>
            </w:tcMar>
            <w:vAlign w:val="center"/>
          </w:tcPr>
          <w:p w:rsidR="002A6F4E" w:rsidRDefault="00D94E62">
            <w:pPr>
              <w:keepNext/>
              <w:keepLines/>
              <w:spacing w:after="0" w:line="240" w:lineRule="auto"/>
            </w:pPr>
            <w:r>
              <w:rPr>
                <w:sz w:val="18"/>
              </w:rPr>
              <w:t>3</w:t>
            </w:r>
          </w:p>
        </w:tc>
        <w:tc>
          <w:tcPr>
            <w:tcW w:w="3180" w:type="dxa"/>
            <w:tcMar>
              <w:top w:w="0" w:type="dxa"/>
              <w:bottom w:w="0" w:type="dxa"/>
            </w:tcMar>
            <w:vAlign w:val="center"/>
          </w:tcPr>
          <w:p w:rsidR="002A6F4E" w:rsidRDefault="00D94E62">
            <w:pPr>
              <w:keepNext/>
              <w:keepLines/>
              <w:spacing w:after="0" w:line="240" w:lineRule="auto"/>
            </w:pPr>
            <w:r>
              <w:rPr>
                <w:sz w:val="18"/>
              </w:rPr>
              <w:t>RASHODI POSLOVANJA (šifre 31+32+34+35+36+37+38)</w:t>
            </w:r>
          </w:p>
        </w:tc>
        <w:tc>
          <w:tcPr>
            <w:tcW w:w="700" w:type="dxa"/>
            <w:tcMar>
              <w:top w:w="0" w:type="dxa"/>
              <w:bottom w:w="0" w:type="dxa"/>
            </w:tcMar>
            <w:vAlign w:val="center"/>
          </w:tcPr>
          <w:p w:rsidR="002A6F4E" w:rsidRDefault="00D94E62">
            <w:pPr>
              <w:keepNext/>
              <w:keepLines/>
              <w:spacing w:after="0" w:line="240" w:lineRule="auto"/>
            </w:pPr>
            <w:r>
              <w:rPr>
                <w:sz w:val="18"/>
              </w:rPr>
              <w:t>3</w:t>
            </w:r>
          </w:p>
        </w:tc>
        <w:tc>
          <w:tcPr>
            <w:tcW w:w="1860" w:type="dxa"/>
            <w:tcMar>
              <w:top w:w="0" w:type="dxa"/>
              <w:bottom w:w="0" w:type="dxa"/>
            </w:tcMar>
            <w:vAlign w:val="center"/>
          </w:tcPr>
          <w:p w:rsidR="002A6F4E" w:rsidRDefault="00D94E62">
            <w:pPr>
              <w:keepNext/>
              <w:keepLines/>
              <w:spacing w:after="0" w:line="240" w:lineRule="auto"/>
              <w:jc w:val="right"/>
            </w:pPr>
            <w:r>
              <w:rPr>
                <w:sz w:val="18"/>
              </w:rPr>
              <w:t>2.225.861,37</w:t>
            </w:r>
          </w:p>
        </w:tc>
        <w:tc>
          <w:tcPr>
            <w:tcW w:w="1860" w:type="dxa"/>
            <w:tcMar>
              <w:top w:w="0" w:type="dxa"/>
              <w:bottom w:w="0" w:type="dxa"/>
            </w:tcMar>
            <w:vAlign w:val="center"/>
          </w:tcPr>
          <w:p w:rsidR="002A6F4E" w:rsidRDefault="00D94E62">
            <w:pPr>
              <w:keepNext/>
              <w:keepLines/>
              <w:spacing w:after="0" w:line="240" w:lineRule="auto"/>
              <w:jc w:val="right"/>
            </w:pPr>
            <w:r>
              <w:rPr>
                <w:sz w:val="18"/>
              </w:rPr>
              <w:t>2.481.415,47</w:t>
            </w:r>
          </w:p>
        </w:tc>
        <w:tc>
          <w:tcPr>
            <w:tcW w:w="700" w:type="dxa"/>
            <w:tcMar>
              <w:top w:w="0" w:type="dxa"/>
              <w:bottom w:w="0" w:type="dxa"/>
            </w:tcMar>
            <w:vAlign w:val="center"/>
          </w:tcPr>
          <w:p w:rsidR="002A6F4E" w:rsidRDefault="00D94E62">
            <w:pPr>
              <w:keepNext/>
              <w:keepLines/>
              <w:spacing w:after="0" w:line="240" w:lineRule="auto"/>
              <w:jc w:val="right"/>
            </w:pPr>
            <w:r>
              <w:rPr>
                <w:sz w:val="18"/>
              </w:rPr>
              <w:t>111,5</w:t>
            </w:r>
          </w:p>
        </w:tc>
      </w:tr>
      <w:tr w:rsidR="002A6F4E">
        <w:trPr>
          <w:cantSplit/>
          <w:trHeight w:val="560"/>
        </w:trPr>
        <w:tc>
          <w:tcPr>
            <w:tcW w:w="700" w:type="dxa"/>
            <w:tcMar>
              <w:top w:w="0" w:type="dxa"/>
              <w:bottom w:w="0" w:type="dxa"/>
            </w:tcMar>
            <w:vAlign w:val="center"/>
          </w:tcPr>
          <w:p w:rsidR="002A6F4E" w:rsidRDefault="002A6F4E">
            <w:pPr>
              <w:keepNext/>
              <w:keepLines/>
              <w:spacing w:after="0" w:line="240" w:lineRule="auto"/>
            </w:pPr>
          </w:p>
        </w:tc>
        <w:tc>
          <w:tcPr>
            <w:tcW w:w="3180" w:type="dxa"/>
            <w:tcMar>
              <w:top w:w="0" w:type="dxa"/>
              <w:bottom w:w="0" w:type="dxa"/>
            </w:tcMar>
            <w:vAlign w:val="center"/>
          </w:tcPr>
          <w:p w:rsidR="002A6F4E" w:rsidRDefault="00D94E62">
            <w:pPr>
              <w:keepNext/>
              <w:keepLines/>
              <w:spacing w:after="0" w:line="240" w:lineRule="auto"/>
            </w:pPr>
            <w:r>
              <w:rPr>
                <w:b/>
                <w:sz w:val="18"/>
              </w:rPr>
              <w:t>VIŠAK PRIHODA POSLOVANJA (šifre 6-Z005)</w:t>
            </w:r>
          </w:p>
        </w:tc>
        <w:tc>
          <w:tcPr>
            <w:tcW w:w="700" w:type="dxa"/>
            <w:tcMar>
              <w:top w:w="0" w:type="dxa"/>
              <w:bottom w:w="0" w:type="dxa"/>
            </w:tcMar>
            <w:vAlign w:val="center"/>
          </w:tcPr>
          <w:p w:rsidR="002A6F4E" w:rsidRDefault="00D94E62">
            <w:pPr>
              <w:keepNext/>
              <w:keepLines/>
              <w:spacing w:after="0" w:line="240" w:lineRule="auto"/>
            </w:pPr>
            <w:r>
              <w:rPr>
                <w:b/>
                <w:sz w:val="18"/>
              </w:rPr>
              <w:t>X001</w:t>
            </w:r>
          </w:p>
        </w:tc>
        <w:tc>
          <w:tcPr>
            <w:tcW w:w="1860" w:type="dxa"/>
            <w:tcMar>
              <w:top w:w="0" w:type="dxa"/>
              <w:bottom w:w="0" w:type="dxa"/>
            </w:tcMar>
            <w:vAlign w:val="center"/>
          </w:tcPr>
          <w:p w:rsidR="002A6F4E" w:rsidRDefault="00D94E62">
            <w:pPr>
              <w:keepNext/>
              <w:keepLines/>
              <w:spacing w:after="0" w:line="240" w:lineRule="auto"/>
              <w:jc w:val="right"/>
            </w:pPr>
            <w:r>
              <w:rPr>
                <w:b/>
                <w:sz w:val="18"/>
              </w:rPr>
              <w:t>354.279,74</w:t>
            </w:r>
          </w:p>
        </w:tc>
        <w:tc>
          <w:tcPr>
            <w:tcW w:w="1860" w:type="dxa"/>
            <w:tcMar>
              <w:top w:w="0" w:type="dxa"/>
              <w:bottom w:w="0" w:type="dxa"/>
            </w:tcMar>
            <w:vAlign w:val="center"/>
          </w:tcPr>
          <w:p w:rsidR="002A6F4E" w:rsidRDefault="00D94E62">
            <w:pPr>
              <w:keepNext/>
              <w:keepLines/>
              <w:spacing w:after="0" w:line="240" w:lineRule="auto"/>
              <w:jc w:val="right"/>
            </w:pPr>
            <w:r>
              <w:rPr>
                <w:b/>
                <w:sz w:val="18"/>
              </w:rPr>
              <w:t>704.363,05</w:t>
            </w:r>
          </w:p>
        </w:tc>
        <w:tc>
          <w:tcPr>
            <w:tcW w:w="700" w:type="dxa"/>
            <w:tcMar>
              <w:top w:w="0" w:type="dxa"/>
              <w:bottom w:w="0" w:type="dxa"/>
            </w:tcMar>
            <w:vAlign w:val="center"/>
          </w:tcPr>
          <w:p w:rsidR="002A6F4E" w:rsidRDefault="00D94E62">
            <w:pPr>
              <w:keepNext/>
              <w:keepLines/>
              <w:spacing w:after="0" w:line="240" w:lineRule="auto"/>
              <w:jc w:val="right"/>
            </w:pPr>
            <w:r>
              <w:rPr>
                <w:b/>
                <w:sz w:val="18"/>
              </w:rPr>
              <w:t>198,8</w:t>
            </w:r>
          </w:p>
        </w:tc>
      </w:tr>
      <w:tr w:rsidR="002A6F4E">
        <w:trPr>
          <w:cantSplit/>
          <w:trHeight w:val="560"/>
        </w:trPr>
        <w:tc>
          <w:tcPr>
            <w:tcW w:w="700" w:type="dxa"/>
            <w:tcMar>
              <w:top w:w="0" w:type="dxa"/>
              <w:bottom w:w="0" w:type="dxa"/>
            </w:tcMar>
            <w:vAlign w:val="center"/>
          </w:tcPr>
          <w:p w:rsidR="002A6F4E" w:rsidRDefault="00D94E62">
            <w:pPr>
              <w:keepNext/>
              <w:keepLines/>
              <w:spacing w:after="0" w:line="240" w:lineRule="auto"/>
            </w:pPr>
            <w:r>
              <w:rPr>
                <w:sz w:val="18"/>
              </w:rPr>
              <w:t>7</w:t>
            </w:r>
          </w:p>
        </w:tc>
        <w:tc>
          <w:tcPr>
            <w:tcW w:w="3180" w:type="dxa"/>
            <w:tcMar>
              <w:top w:w="0" w:type="dxa"/>
              <w:bottom w:w="0" w:type="dxa"/>
            </w:tcMar>
            <w:vAlign w:val="center"/>
          </w:tcPr>
          <w:p w:rsidR="002A6F4E" w:rsidRDefault="00D94E62">
            <w:pPr>
              <w:keepNext/>
              <w:keepLines/>
              <w:spacing w:after="0" w:line="240" w:lineRule="auto"/>
            </w:pPr>
            <w:r>
              <w:rPr>
                <w:sz w:val="18"/>
              </w:rPr>
              <w:t>Prihodi od prodaje nefinancijske imovine (šifre 71+72+73+74)</w:t>
            </w:r>
          </w:p>
        </w:tc>
        <w:tc>
          <w:tcPr>
            <w:tcW w:w="700" w:type="dxa"/>
            <w:tcMar>
              <w:top w:w="0" w:type="dxa"/>
              <w:bottom w:w="0" w:type="dxa"/>
            </w:tcMar>
            <w:vAlign w:val="center"/>
          </w:tcPr>
          <w:p w:rsidR="002A6F4E" w:rsidRDefault="00D94E62">
            <w:pPr>
              <w:keepNext/>
              <w:keepLines/>
              <w:spacing w:after="0" w:line="240" w:lineRule="auto"/>
            </w:pPr>
            <w:r>
              <w:rPr>
                <w:sz w:val="18"/>
              </w:rPr>
              <w:t>7</w:t>
            </w:r>
          </w:p>
        </w:tc>
        <w:tc>
          <w:tcPr>
            <w:tcW w:w="1860" w:type="dxa"/>
            <w:tcMar>
              <w:top w:w="0" w:type="dxa"/>
              <w:bottom w:w="0" w:type="dxa"/>
            </w:tcMar>
            <w:vAlign w:val="center"/>
          </w:tcPr>
          <w:p w:rsidR="002A6F4E" w:rsidRDefault="00D94E62">
            <w:pPr>
              <w:keepNext/>
              <w:keepLines/>
              <w:spacing w:after="0" w:line="240" w:lineRule="auto"/>
              <w:jc w:val="right"/>
            </w:pPr>
            <w:r>
              <w:rPr>
                <w:sz w:val="18"/>
              </w:rPr>
              <w:t>77.684,23</w:t>
            </w:r>
          </w:p>
        </w:tc>
        <w:tc>
          <w:tcPr>
            <w:tcW w:w="1860" w:type="dxa"/>
            <w:tcMar>
              <w:top w:w="0" w:type="dxa"/>
              <w:bottom w:w="0" w:type="dxa"/>
            </w:tcMar>
            <w:vAlign w:val="center"/>
          </w:tcPr>
          <w:p w:rsidR="002A6F4E" w:rsidRDefault="00D94E62">
            <w:pPr>
              <w:keepNext/>
              <w:keepLines/>
              <w:spacing w:after="0" w:line="240" w:lineRule="auto"/>
              <w:jc w:val="right"/>
            </w:pPr>
            <w:r>
              <w:rPr>
                <w:sz w:val="18"/>
              </w:rPr>
              <w:t>159.285,23</w:t>
            </w:r>
          </w:p>
        </w:tc>
        <w:tc>
          <w:tcPr>
            <w:tcW w:w="700" w:type="dxa"/>
            <w:tcMar>
              <w:top w:w="0" w:type="dxa"/>
              <w:bottom w:w="0" w:type="dxa"/>
            </w:tcMar>
            <w:vAlign w:val="center"/>
          </w:tcPr>
          <w:p w:rsidR="002A6F4E" w:rsidRDefault="00D94E62">
            <w:pPr>
              <w:keepNext/>
              <w:keepLines/>
              <w:spacing w:after="0" w:line="240" w:lineRule="auto"/>
              <w:jc w:val="right"/>
            </w:pPr>
            <w:r>
              <w:rPr>
                <w:sz w:val="18"/>
              </w:rPr>
              <w:t>205,0</w:t>
            </w:r>
          </w:p>
        </w:tc>
      </w:tr>
      <w:tr w:rsidR="002A6F4E">
        <w:trPr>
          <w:cantSplit/>
          <w:trHeight w:val="560"/>
        </w:trPr>
        <w:tc>
          <w:tcPr>
            <w:tcW w:w="700" w:type="dxa"/>
            <w:tcMar>
              <w:top w:w="0" w:type="dxa"/>
              <w:bottom w:w="0" w:type="dxa"/>
            </w:tcMar>
            <w:vAlign w:val="center"/>
          </w:tcPr>
          <w:p w:rsidR="002A6F4E" w:rsidRDefault="00D94E62">
            <w:pPr>
              <w:keepNext/>
              <w:keepLines/>
              <w:spacing w:after="0" w:line="240" w:lineRule="auto"/>
            </w:pPr>
            <w:r>
              <w:rPr>
                <w:sz w:val="18"/>
              </w:rPr>
              <w:t>4</w:t>
            </w:r>
          </w:p>
        </w:tc>
        <w:tc>
          <w:tcPr>
            <w:tcW w:w="3180" w:type="dxa"/>
            <w:tcMar>
              <w:top w:w="0" w:type="dxa"/>
              <w:bottom w:w="0" w:type="dxa"/>
            </w:tcMar>
            <w:vAlign w:val="center"/>
          </w:tcPr>
          <w:p w:rsidR="002A6F4E" w:rsidRDefault="00D94E62">
            <w:pPr>
              <w:keepNext/>
              <w:keepLines/>
              <w:spacing w:after="0" w:line="240" w:lineRule="auto"/>
            </w:pPr>
            <w:r>
              <w:rPr>
                <w:sz w:val="18"/>
              </w:rPr>
              <w:t>Rashodi za nabavu nefinancijske imovine (šifre 41+42+43+44+45)</w:t>
            </w:r>
          </w:p>
        </w:tc>
        <w:tc>
          <w:tcPr>
            <w:tcW w:w="700" w:type="dxa"/>
            <w:tcMar>
              <w:top w:w="0" w:type="dxa"/>
              <w:bottom w:w="0" w:type="dxa"/>
            </w:tcMar>
            <w:vAlign w:val="center"/>
          </w:tcPr>
          <w:p w:rsidR="002A6F4E" w:rsidRDefault="00D94E62">
            <w:pPr>
              <w:keepNext/>
              <w:keepLines/>
              <w:spacing w:after="0" w:line="240" w:lineRule="auto"/>
            </w:pPr>
            <w:r>
              <w:rPr>
                <w:sz w:val="18"/>
              </w:rPr>
              <w:t>4</w:t>
            </w:r>
          </w:p>
        </w:tc>
        <w:tc>
          <w:tcPr>
            <w:tcW w:w="1860" w:type="dxa"/>
            <w:tcMar>
              <w:top w:w="0" w:type="dxa"/>
              <w:bottom w:w="0" w:type="dxa"/>
            </w:tcMar>
            <w:vAlign w:val="center"/>
          </w:tcPr>
          <w:p w:rsidR="002A6F4E" w:rsidRDefault="00D94E62">
            <w:pPr>
              <w:keepNext/>
              <w:keepLines/>
              <w:spacing w:after="0" w:line="240" w:lineRule="auto"/>
              <w:jc w:val="right"/>
            </w:pPr>
            <w:r>
              <w:rPr>
                <w:sz w:val="18"/>
              </w:rPr>
              <w:t>950.124,84</w:t>
            </w:r>
          </w:p>
        </w:tc>
        <w:tc>
          <w:tcPr>
            <w:tcW w:w="1860" w:type="dxa"/>
            <w:tcMar>
              <w:top w:w="0" w:type="dxa"/>
              <w:bottom w:w="0" w:type="dxa"/>
            </w:tcMar>
            <w:vAlign w:val="center"/>
          </w:tcPr>
          <w:p w:rsidR="002A6F4E" w:rsidRDefault="00D94E62">
            <w:pPr>
              <w:keepNext/>
              <w:keepLines/>
              <w:spacing w:after="0" w:line="240" w:lineRule="auto"/>
              <w:jc w:val="right"/>
            </w:pPr>
            <w:r>
              <w:rPr>
                <w:sz w:val="18"/>
              </w:rPr>
              <w:t>545.948,85</w:t>
            </w:r>
          </w:p>
        </w:tc>
        <w:tc>
          <w:tcPr>
            <w:tcW w:w="700" w:type="dxa"/>
            <w:tcMar>
              <w:top w:w="0" w:type="dxa"/>
              <w:bottom w:w="0" w:type="dxa"/>
            </w:tcMar>
            <w:vAlign w:val="center"/>
          </w:tcPr>
          <w:p w:rsidR="002A6F4E" w:rsidRDefault="00D94E62">
            <w:pPr>
              <w:keepNext/>
              <w:keepLines/>
              <w:spacing w:after="0" w:line="240" w:lineRule="auto"/>
              <w:jc w:val="right"/>
            </w:pPr>
            <w:r>
              <w:rPr>
                <w:sz w:val="18"/>
              </w:rPr>
              <w:t>57,5</w:t>
            </w:r>
          </w:p>
        </w:tc>
      </w:tr>
      <w:tr w:rsidR="002A6F4E">
        <w:trPr>
          <w:cantSplit/>
          <w:trHeight w:val="560"/>
        </w:trPr>
        <w:tc>
          <w:tcPr>
            <w:tcW w:w="700" w:type="dxa"/>
            <w:tcMar>
              <w:top w:w="0" w:type="dxa"/>
              <w:bottom w:w="0" w:type="dxa"/>
            </w:tcMar>
            <w:vAlign w:val="center"/>
          </w:tcPr>
          <w:p w:rsidR="002A6F4E" w:rsidRDefault="002A6F4E">
            <w:pPr>
              <w:keepNext/>
              <w:keepLines/>
              <w:spacing w:after="0" w:line="240" w:lineRule="auto"/>
            </w:pPr>
          </w:p>
        </w:tc>
        <w:tc>
          <w:tcPr>
            <w:tcW w:w="3180" w:type="dxa"/>
            <w:tcMar>
              <w:top w:w="0" w:type="dxa"/>
              <w:bottom w:w="0" w:type="dxa"/>
            </w:tcMar>
            <w:vAlign w:val="center"/>
          </w:tcPr>
          <w:p w:rsidR="002A6F4E" w:rsidRDefault="00D94E62">
            <w:pPr>
              <w:keepNext/>
              <w:keepLines/>
              <w:spacing w:after="0" w:line="240" w:lineRule="auto"/>
            </w:pPr>
            <w:r>
              <w:rPr>
                <w:b/>
                <w:sz w:val="18"/>
              </w:rPr>
              <w:t>MANJAK PRIHODA OD NEFINANCIJSKE IMOVINE (šifre 4-7)</w:t>
            </w:r>
          </w:p>
        </w:tc>
        <w:tc>
          <w:tcPr>
            <w:tcW w:w="700" w:type="dxa"/>
            <w:tcMar>
              <w:top w:w="0" w:type="dxa"/>
              <w:bottom w:w="0" w:type="dxa"/>
            </w:tcMar>
            <w:vAlign w:val="center"/>
          </w:tcPr>
          <w:p w:rsidR="002A6F4E" w:rsidRDefault="00D94E62">
            <w:pPr>
              <w:keepNext/>
              <w:keepLines/>
              <w:spacing w:after="0" w:line="240" w:lineRule="auto"/>
            </w:pPr>
            <w:r>
              <w:rPr>
                <w:b/>
                <w:sz w:val="18"/>
              </w:rPr>
              <w:t>Y002</w:t>
            </w:r>
          </w:p>
        </w:tc>
        <w:tc>
          <w:tcPr>
            <w:tcW w:w="1860" w:type="dxa"/>
            <w:tcMar>
              <w:top w:w="0" w:type="dxa"/>
              <w:bottom w:w="0" w:type="dxa"/>
            </w:tcMar>
            <w:vAlign w:val="center"/>
          </w:tcPr>
          <w:p w:rsidR="002A6F4E" w:rsidRDefault="00D94E62">
            <w:pPr>
              <w:keepNext/>
              <w:keepLines/>
              <w:spacing w:after="0" w:line="240" w:lineRule="auto"/>
              <w:jc w:val="right"/>
            </w:pPr>
            <w:r>
              <w:rPr>
                <w:b/>
                <w:sz w:val="18"/>
              </w:rPr>
              <w:t>872.440,61</w:t>
            </w:r>
          </w:p>
        </w:tc>
        <w:tc>
          <w:tcPr>
            <w:tcW w:w="1860" w:type="dxa"/>
            <w:tcMar>
              <w:top w:w="0" w:type="dxa"/>
              <w:bottom w:w="0" w:type="dxa"/>
            </w:tcMar>
            <w:vAlign w:val="center"/>
          </w:tcPr>
          <w:p w:rsidR="002A6F4E" w:rsidRDefault="00D94E62">
            <w:pPr>
              <w:keepNext/>
              <w:keepLines/>
              <w:spacing w:after="0" w:line="240" w:lineRule="auto"/>
              <w:jc w:val="right"/>
            </w:pPr>
            <w:r>
              <w:rPr>
                <w:b/>
                <w:sz w:val="18"/>
              </w:rPr>
              <w:t>386.663,62</w:t>
            </w:r>
          </w:p>
        </w:tc>
        <w:tc>
          <w:tcPr>
            <w:tcW w:w="700" w:type="dxa"/>
            <w:tcMar>
              <w:top w:w="0" w:type="dxa"/>
              <w:bottom w:w="0" w:type="dxa"/>
            </w:tcMar>
            <w:vAlign w:val="center"/>
          </w:tcPr>
          <w:p w:rsidR="002A6F4E" w:rsidRDefault="00D94E62">
            <w:pPr>
              <w:keepNext/>
              <w:keepLines/>
              <w:spacing w:after="0" w:line="240" w:lineRule="auto"/>
              <w:jc w:val="right"/>
            </w:pPr>
            <w:r>
              <w:rPr>
                <w:b/>
                <w:sz w:val="18"/>
              </w:rPr>
              <w:t>44,3</w:t>
            </w:r>
          </w:p>
        </w:tc>
      </w:tr>
      <w:tr w:rsidR="002A6F4E">
        <w:trPr>
          <w:cantSplit/>
          <w:trHeight w:val="560"/>
        </w:trPr>
        <w:tc>
          <w:tcPr>
            <w:tcW w:w="700" w:type="dxa"/>
            <w:tcMar>
              <w:top w:w="0" w:type="dxa"/>
              <w:bottom w:w="0" w:type="dxa"/>
            </w:tcMar>
            <w:vAlign w:val="center"/>
          </w:tcPr>
          <w:p w:rsidR="002A6F4E" w:rsidRDefault="00D94E62">
            <w:pPr>
              <w:keepNext/>
              <w:keepLines/>
              <w:spacing w:after="0" w:line="240" w:lineRule="auto"/>
            </w:pPr>
            <w:r>
              <w:rPr>
                <w:sz w:val="18"/>
              </w:rPr>
              <w:t>8</w:t>
            </w:r>
          </w:p>
        </w:tc>
        <w:tc>
          <w:tcPr>
            <w:tcW w:w="3180" w:type="dxa"/>
            <w:tcMar>
              <w:top w:w="0" w:type="dxa"/>
              <w:bottom w:w="0" w:type="dxa"/>
            </w:tcMar>
            <w:vAlign w:val="center"/>
          </w:tcPr>
          <w:p w:rsidR="002A6F4E" w:rsidRDefault="00D94E62">
            <w:pPr>
              <w:keepNext/>
              <w:keepLines/>
              <w:spacing w:after="0" w:line="240" w:lineRule="auto"/>
            </w:pPr>
            <w:r>
              <w:rPr>
                <w:sz w:val="18"/>
              </w:rPr>
              <w:t>Primici od financijske imovine i zaduživanja (šifre 81+82+83+84+85)</w:t>
            </w:r>
          </w:p>
        </w:tc>
        <w:tc>
          <w:tcPr>
            <w:tcW w:w="700" w:type="dxa"/>
            <w:tcMar>
              <w:top w:w="0" w:type="dxa"/>
              <w:bottom w:w="0" w:type="dxa"/>
            </w:tcMar>
            <w:vAlign w:val="center"/>
          </w:tcPr>
          <w:p w:rsidR="002A6F4E" w:rsidRDefault="00D94E62">
            <w:pPr>
              <w:keepNext/>
              <w:keepLines/>
              <w:spacing w:after="0" w:line="240" w:lineRule="auto"/>
            </w:pPr>
            <w:r>
              <w:rPr>
                <w:sz w:val="18"/>
              </w:rPr>
              <w:t>8</w:t>
            </w:r>
          </w:p>
        </w:tc>
        <w:tc>
          <w:tcPr>
            <w:tcW w:w="1860" w:type="dxa"/>
            <w:tcMar>
              <w:top w:w="0" w:type="dxa"/>
              <w:bottom w:w="0" w:type="dxa"/>
            </w:tcMar>
            <w:vAlign w:val="center"/>
          </w:tcPr>
          <w:p w:rsidR="002A6F4E" w:rsidRDefault="00D94E62">
            <w:pPr>
              <w:keepNext/>
              <w:keepLines/>
              <w:spacing w:after="0" w:line="240" w:lineRule="auto"/>
              <w:jc w:val="right"/>
            </w:pPr>
            <w:r>
              <w:rPr>
                <w:sz w:val="18"/>
              </w:rPr>
              <w:t>496.871,17</w:t>
            </w:r>
          </w:p>
        </w:tc>
        <w:tc>
          <w:tcPr>
            <w:tcW w:w="1860" w:type="dxa"/>
            <w:tcMar>
              <w:top w:w="0" w:type="dxa"/>
              <w:bottom w:w="0" w:type="dxa"/>
            </w:tcMar>
            <w:vAlign w:val="center"/>
          </w:tcPr>
          <w:p w:rsidR="002A6F4E" w:rsidRDefault="00D94E62">
            <w:pPr>
              <w:keepNext/>
              <w:keepLines/>
              <w:spacing w:after="0" w:line="240" w:lineRule="auto"/>
              <w:jc w:val="right"/>
            </w:pPr>
            <w:r>
              <w:rPr>
                <w:sz w:val="18"/>
              </w:rPr>
              <w:t>0,00</w:t>
            </w:r>
          </w:p>
        </w:tc>
        <w:tc>
          <w:tcPr>
            <w:tcW w:w="700" w:type="dxa"/>
            <w:tcMar>
              <w:top w:w="0" w:type="dxa"/>
              <w:bottom w:w="0" w:type="dxa"/>
            </w:tcMar>
            <w:vAlign w:val="center"/>
          </w:tcPr>
          <w:p w:rsidR="002A6F4E" w:rsidRDefault="00D94E62">
            <w:pPr>
              <w:keepNext/>
              <w:keepLines/>
              <w:spacing w:after="0" w:line="240" w:lineRule="auto"/>
              <w:jc w:val="right"/>
            </w:pPr>
            <w:r>
              <w:rPr>
                <w:sz w:val="18"/>
              </w:rPr>
              <w:t>0</w:t>
            </w:r>
          </w:p>
        </w:tc>
      </w:tr>
      <w:tr w:rsidR="002A6F4E">
        <w:trPr>
          <w:cantSplit/>
          <w:trHeight w:val="560"/>
        </w:trPr>
        <w:tc>
          <w:tcPr>
            <w:tcW w:w="700" w:type="dxa"/>
            <w:tcMar>
              <w:top w:w="0" w:type="dxa"/>
              <w:bottom w:w="0" w:type="dxa"/>
            </w:tcMar>
            <w:vAlign w:val="center"/>
          </w:tcPr>
          <w:p w:rsidR="002A6F4E" w:rsidRDefault="00D94E62">
            <w:pPr>
              <w:keepNext/>
              <w:keepLines/>
              <w:spacing w:after="0" w:line="240" w:lineRule="auto"/>
            </w:pPr>
            <w:r>
              <w:rPr>
                <w:sz w:val="18"/>
              </w:rPr>
              <w:t>5</w:t>
            </w:r>
          </w:p>
        </w:tc>
        <w:tc>
          <w:tcPr>
            <w:tcW w:w="3180" w:type="dxa"/>
            <w:tcMar>
              <w:top w:w="0" w:type="dxa"/>
              <w:bottom w:w="0" w:type="dxa"/>
            </w:tcMar>
            <w:vAlign w:val="center"/>
          </w:tcPr>
          <w:p w:rsidR="002A6F4E" w:rsidRDefault="00D94E62">
            <w:pPr>
              <w:keepNext/>
              <w:keepLines/>
              <w:spacing w:after="0" w:line="240" w:lineRule="auto"/>
            </w:pPr>
            <w:r>
              <w:rPr>
                <w:sz w:val="18"/>
              </w:rPr>
              <w:t>Izdaci za financijsku imovinu i otplate zajmova (šifre 51+52+53+54+55)</w:t>
            </w:r>
          </w:p>
        </w:tc>
        <w:tc>
          <w:tcPr>
            <w:tcW w:w="700" w:type="dxa"/>
            <w:tcMar>
              <w:top w:w="0" w:type="dxa"/>
              <w:bottom w:w="0" w:type="dxa"/>
            </w:tcMar>
            <w:vAlign w:val="center"/>
          </w:tcPr>
          <w:p w:rsidR="002A6F4E" w:rsidRDefault="00D94E62">
            <w:pPr>
              <w:keepNext/>
              <w:keepLines/>
              <w:spacing w:after="0" w:line="240" w:lineRule="auto"/>
            </w:pPr>
            <w:r>
              <w:rPr>
                <w:sz w:val="18"/>
              </w:rPr>
              <w:t>5</w:t>
            </w:r>
          </w:p>
        </w:tc>
        <w:tc>
          <w:tcPr>
            <w:tcW w:w="1860" w:type="dxa"/>
            <w:tcMar>
              <w:top w:w="0" w:type="dxa"/>
              <w:bottom w:w="0" w:type="dxa"/>
            </w:tcMar>
            <w:vAlign w:val="center"/>
          </w:tcPr>
          <w:p w:rsidR="002A6F4E" w:rsidRDefault="00D94E62">
            <w:pPr>
              <w:keepNext/>
              <w:keepLines/>
              <w:spacing w:after="0" w:line="240" w:lineRule="auto"/>
              <w:jc w:val="right"/>
            </w:pPr>
            <w:r>
              <w:rPr>
                <w:sz w:val="18"/>
              </w:rPr>
              <w:t>101.908,62</w:t>
            </w:r>
          </w:p>
        </w:tc>
        <w:tc>
          <w:tcPr>
            <w:tcW w:w="1860" w:type="dxa"/>
            <w:tcMar>
              <w:top w:w="0" w:type="dxa"/>
              <w:bottom w:w="0" w:type="dxa"/>
            </w:tcMar>
            <w:vAlign w:val="center"/>
          </w:tcPr>
          <w:p w:rsidR="002A6F4E" w:rsidRDefault="00D94E62">
            <w:pPr>
              <w:keepNext/>
              <w:keepLines/>
              <w:spacing w:after="0" w:line="240" w:lineRule="auto"/>
              <w:jc w:val="right"/>
            </w:pPr>
            <w:r>
              <w:rPr>
                <w:sz w:val="18"/>
              </w:rPr>
              <w:t>98.769,14</w:t>
            </w:r>
          </w:p>
        </w:tc>
        <w:tc>
          <w:tcPr>
            <w:tcW w:w="700" w:type="dxa"/>
            <w:tcMar>
              <w:top w:w="0" w:type="dxa"/>
              <w:bottom w:w="0" w:type="dxa"/>
            </w:tcMar>
            <w:vAlign w:val="center"/>
          </w:tcPr>
          <w:p w:rsidR="002A6F4E" w:rsidRDefault="00D94E62">
            <w:pPr>
              <w:keepNext/>
              <w:keepLines/>
              <w:spacing w:after="0" w:line="240" w:lineRule="auto"/>
              <w:jc w:val="right"/>
            </w:pPr>
            <w:r>
              <w:rPr>
                <w:sz w:val="18"/>
              </w:rPr>
              <w:t>96,9</w:t>
            </w:r>
          </w:p>
        </w:tc>
      </w:tr>
      <w:tr w:rsidR="002A6F4E">
        <w:trPr>
          <w:cantSplit/>
          <w:trHeight w:val="560"/>
        </w:trPr>
        <w:tc>
          <w:tcPr>
            <w:tcW w:w="700" w:type="dxa"/>
            <w:tcMar>
              <w:top w:w="0" w:type="dxa"/>
              <w:bottom w:w="0" w:type="dxa"/>
            </w:tcMar>
            <w:vAlign w:val="center"/>
          </w:tcPr>
          <w:p w:rsidR="002A6F4E" w:rsidRDefault="002A6F4E">
            <w:pPr>
              <w:keepNext/>
              <w:keepLines/>
              <w:spacing w:after="0" w:line="240" w:lineRule="auto"/>
            </w:pPr>
          </w:p>
        </w:tc>
        <w:tc>
          <w:tcPr>
            <w:tcW w:w="3180" w:type="dxa"/>
            <w:tcMar>
              <w:top w:w="0" w:type="dxa"/>
              <w:bottom w:w="0" w:type="dxa"/>
            </w:tcMar>
            <w:vAlign w:val="center"/>
          </w:tcPr>
          <w:p w:rsidR="002A6F4E" w:rsidRDefault="00D94E62">
            <w:pPr>
              <w:keepNext/>
              <w:keepLines/>
              <w:spacing w:after="0" w:line="240" w:lineRule="auto"/>
            </w:pPr>
            <w:r>
              <w:rPr>
                <w:b/>
                <w:sz w:val="18"/>
              </w:rPr>
              <w:t>MANJAK PRIMITAKA OD FINANCIJSKE IMOVINE I ZADUŽIVANJA (šifre 5-8)</w:t>
            </w:r>
          </w:p>
        </w:tc>
        <w:tc>
          <w:tcPr>
            <w:tcW w:w="700" w:type="dxa"/>
            <w:tcMar>
              <w:top w:w="0" w:type="dxa"/>
              <w:bottom w:w="0" w:type="dxa"/>
            </w:tcMar>
            <w:vAlign w:val="center"/>
          </w:tcPr>
          <w:p w:rsidR="002A6F4E" w:rsidRDefault="00D94E62">
            <w:pPr>
              <w:keepNext/>
              <w:keepLines/>
              <w:spacing w:after="0" w:line="240" w:lineRule="auto"/>
            </w:pPr>
            <w:r>
              <w:rPr>
                <w:b/>
                <w:sz w:val="18"/>
              </w:rPr>
              <w:t>Y003</w:t>
            </w:r>
          </w:p>
        </w:tc>
        <w:tc>
          <w:tcPr>
            <w:tcW w:w="1860" w:type="dxa"/>
            <w:tcMar>
              <w:top w:w="0" w:type="dxa"/>
              <w:bottom w:w="0" w:type="dxa"/>
            </w:tcMar>
            <w:vAlign w:val="center"/>
          </w:tcPr>
          <w:p w:rsidR="002A6F4E" w:rsidRDefault="00D94E62">
            <w:pPr>
              <w:keepNext/>
              <w:keepLines/>
              <w:spacing w:after="0" w:line="240" w:lineRule="auto"/>
              <w:jc w:val="right"/>
            </w:pPr>
            <w:r>
              <w:rPr>
                <w:b/>
                <w:sz w:val="18"/>
              </w:rPr>
              <w:t>0,00</w:t>
            </w:r>
          </w:p>
        </w:tc>
        <w:tc>
          <w:tcPr>
            <w:tcW w:w="1860" w:type="dxa"/>
            <w:tcMar>
              <w:top w:w="0" w:type="dxa"/>
              <w:bottom w:w="0" w:type="dxa"/>
            </w:tcMar>
            <w:vAlign w:val="center"/>
          </w:tcPr>
          <w:p w:rsidR="002A6F4E" w:rsidRDefault="00D94E62">
            <w:pPr>
              <w:keepNext/>
              <w:keepLines/>
              <w:spacing w:after="0" w:line="240" w:lineRule="auto"/>
              <w:jc w:val="right"/>
            </w:pPr>
            <w:r>
              <w:rPr>
                <w:b/>
                <w:sz w:val="18"/>
              </w:rPr>
              <w:t>98.769,14</w:t>
            </w:r>
          </w:p>
        </w:tc>
        <w:tc>
          <w:tcPr>
            <w:tcW w:w="700" w:type="dxa"/>
            <w:tcMar>
              <w:top w:w="0" w:type="dxa"/>
              <w:bottom w:w="0" w:type="dxa"/>
            </w:tcMar>
            <w:vAlign w:val="center"/>
          </w:tcPr>
          <w:p w:rsidR="002A6F4E" w:rsidRDefault="00D94E62">
            <w:pPr>
              <w:keepNext/>
              <w:keepLines/>
              <w:spacing w:after="0" w:line="240" w:lineRule="auto"/>
              <w:jc w:val="right"/>
            </w:pPr>
            <w:r>
              <w:rPr>
                <w:b/>
                <w:sz w:val="18"/>
              </w:rPr>
              <w:t>-</w:t>
            </w:r>
          </w:p>
        </w:tc>
      </w:tr>
      <w:tr w:rsidR="002A6F4E">
        <w:trPr>
          <w:cantSplit/>
          <w:trHeight w:val="560"/>
        </w:trPr>
        <w:tc>
          <w:tcPr>
            <w:tcW w:w="700" w:type="dxa"/>
            <w:tcMar>
              <w:top w:w="0" w:type="dxa"/>
              <w:bottom w:w="0" w:type="dxa"/>
            </w:tcMar>
            <w:vAlign w:val="center"/>
          </w:tcPr>
          <w:p w:rsidR="002A6F4E" w:rsidRDefault="002A6F4E">
            <w:pPr>
              <w:keepNext/>
              <w:keepLines/>
              <w:spacing w:after="0" w:line="240" w:lineRule="auto"/>
            </w:pPr>
          </w:p>
        </w:tc>
        <w:tc>
          <w:tcPr>
            <w:tcW w:w="3180" w:type="dxa"/>
            <w:tcMar>
              <w:top w:w="0" w:type="dxa"/>
              <w:bottom w:w="0" w:type="dxa"/>
            </w:tcMar>
            <w:vAlign w:val="center"/>
          </w:tcPr>
          <w:p w:rsidR="002A6F4E" w:rsidRDefault="00D94E62">
            <w:pPr>
              <w:keepNext/>
              <w:keepLines/>
              <w:spacing w:after="0" w:line="240" w:lineRule="auto"/>
            </w:pPr>
            <w:r>
              <w:rPr>
                <w:b/>
                <w:sz w:val="18"/>
              </w:rPr>
              <w:t>VIŠAK PRIHODA I PRIMITAKA (šifre X678-Y345)</w:t>
            </w:r>
          </w:p>
        </w:tc>
        <w:tc>
          <w:tcPr>
            <w:tcW w:w="700" w:type="dxa"/>
            <w:tcMar>
              <w:top w:w="0" w:type="dxa"/>
              <w:bottom w:w="0" w:type="dxa"/>
            </w:tcMar>
            <w:vAlign w:val="center"/>
          </w:tcPr>
          <w:p w:rsidR="002A6F4E" w:rsidRDefault="00D94E62">
            <w:pPr>
              <w:keepNext/>
              <w:keepLines/>
              <w:spacing w:after="0" w:line="240" w:lineRule="auto"/>
            </w:pPr>
            <w:r>
              <w:rPr>
                <w:b/>
                <w:sz w:val="18"/>
              </w:rPr>
              <w:t>X005</w:t>
            </w:r>
          </w:p>
        </w:tc>
        <w:tc>
          <w:tcPr>
            <w:tcW w:w="1860" w:type="dxa"/>
            <w:tcMar>
              <w:top w:w="0" w:type="dxa"/>
              <w:bottom w:w="0" w:type="dxa"/>
            </w:tcMar>
            <w:vAlign w:val="center"/>
          </w:tcPr>
          <w:p w:rsidR="002A6F4E" w:rsidRDefault="00D94E62">
            <w:pPr>
              <w:keepNext/>
              <w:keepLines/>
              <w:spacing w:after="0" w:line="240" w:lineRule="auto"/>
              <w:jc w:val="right"/>
            </w:pPr>
            <w:r>
              <w:rPr>
                <w:b/>
                <w:sz w:val="18"/>
              </w:rPr>
              <w:t>0,00</w:t>
            </w:r>
          </w:p>
        </w:tc>
        <w:tc>
          <w:tcPr>
            <w:tcW w:w="1860" w:type="dxa"/>
            <w:tcMar>
              <w:top w:w="0" w:type="dxa"/>
              <w:bottom w:w="0" w:type="dxa"/>
            </w:tcMar>
            <w:vAlign w:val="center"/>
          </w:tcPr>
          <w:p w:rsidR="002A6F4E" w:rsidRDefault="00D94E62">
            <w:pPr>
              <w:keepNext/>
              <w:keepLines/>
              <w:spacing w:after="0" w:line="240" w:lineRule="auto"/>
              <w:jc w:val="right"/>
            </w:pPr>
            <w:r>
              <w:rPr>
                <w:b/>
                <w:sz w:val="18"/>
              </w:rPr>
              <w:t>218.930,29</w:t>
            </w:r>
          </w:p>
        </w:tc>
        <w:tc>
          <w:tcPr>
            <w:tcW w:w="700" w:type="dxa"/>
            <w:tcMar>
              <w:top w:w="0" w:type="dxa"/>
              <w:bottom w:w="0" w:type="dxa"/>
            </w:tcMar>
            <w:vAlign w:val="center"/>
          </w:tcPr>
          <w:p w:rsidR="002A6F4E" w:rsidRDefault="00D94E62">
            <w:pPr>
              <w:keepNext/>
              <w:keepLines/>
              <w:spacing w:after="0" w:line="240" w:lineRule="auto"/>
              <w:jc w:val="right"/>
            </w:pPr>
            <w:r>
              <w:rPr>
                <w:b/>
                <w:sz w:val="18"/>
              </w:rPr>
              <w:t>-</w:t>
            </w:r>
          </w:p>
        </w:tc>
      </w:tr>
    </w:tbl>
    <w:p w:rsidR="002A6F4E" w:rsidRDefault="002A6F4E">
      <w:pPr>
        <w:spacing w:after="0"/>
      </w:pPr>
    </w:p>
    <w:p w:rsidR="002A6F4E" w:rsidRDefault="00D94E62" w:rsidP="00D347BA">
      <w:pPr>
        <w:jc w:val="both"/>
      </w:pPr>
      <w:r>
        <w:t xml:space="preserve">Prihodi poslovanja u razdoblju od 1. siječnja do 31. prosinca 2025. godine ostvareni su u iznosu od 3.185.778,52 eura što je za 23,5 % više u odnosu na 2025. godinu i najveći udio povećanje se odnosi u stavkama poreza na dohodak od kapitala, pomoći od izvanproračunskih korisnika, tekuće pomoći temeljem prijenosa EU sredstava i prihoda od imovine. Ukupni rashodi poslovanja u izvještajnom razdoblju ostvareni su u iznosu od 2.481.415,47 eura što je za 11,5 % više u odnosu na isto razdoblje 2025. godine. Na povećanje rashoda poslovanja najviše je </w:t>
      </w:r>
      <w:r>
        <w:lastRenderedPageBreak/>
        <w:t>utjecao porast plaća zaposlenih, porast materijalnih troškova i troškova za provođenje lokalnih izbora.</w:t>
      </w:r>
    </w:p>
    <w:p w:rsidR="002A6F4E" w:rsidRDefault="00D94E62" w:rsidP="00D347BA">
      <w:pPr>
        <w:jc w:val="both"/>
      </w:pPr>
      <w:r>
        <w:t>Prihodi od prodaje nefinancijske imovine ostvareni su u iznosu od 159.285,23 eura što predstavlja povećanje prihoda od 105,00 % u odnosu na 2024. godinu. Ostvareni prihodi odnose se na ostvarene prihode po kupoprodaji zemljišta po raspisanim natječajima u 2024. i 2025. godini. Istovremeno, rashodi za nabavu nefinancijske imovine ostvareni su u iznosu od 545.948,85 eura što predstavlja smanjenje za 42,50% u odnosu na isto razdoblje prošle godine. Do smanjenja ove vrste rashoda u odnosu na prethodnu godinu je došlo zbog nižeg ostvarenja prihoda u odnosu na plan, odnosno izostanka kapitalnih pomoći iz državnog i županijskog proračuna za kandidirane projekte u planiranom iznosu.  </w:t>
      </w:r>
    </w:p>
    <w:p w:rsidR="002A6F4E" w:rsidRDefault="00D94E62" w:rsidP="00D347BA">
      <w:pPr>
        <w:jc w:val="both"/>
      </w:pPr>
      <w:r>
        <w:t xml:space="preserve">Ukupni primici od financijske imovine i zaduživanja u izvještajnom razdoblju se nisu planirali, pa samim time i realizirali. Ukupni izdaci za financijsku imovinu i otplate zajmova ostvareni su u iznosu od 98769,14 eura ili 96,90 % od plana, te se isti odnose na otplatu dugoročnih kredita Općine </w:t>
      </w:r>
      <w:proofErr w:type="spellStart"/>
      <w:r>
        <w:t>Fužine</w:t>
      </w:r>
      <w:proofErr w:type="spellEnd"/>
      <w:r>
        <w:t>.  </w:t>
      </w:r>
    </w:p>
    <w:p w:rsidR="002A6F4E" w:rsidRDefault="00D94E62" w:rsidP="00D347BA">
      <w:pPr>
        <w:jc w:val="both"/>
      </w:pPr>
      <w:r>
        <w:t xml:space="preserve">U izvještajnom razdoblju ostvaren je višak prihoda i primitaka na dan 31. prosinca 2025. </w:t>
      </w:r>
      <w:proofErr w:type="spellStart"/>
      <w:r>
        <w:t>godineu</w:t>
      </w:r>
      <w:proofErr w:type="spellEnd"/>
      <w:r>
        <w:t xml:space="preserve"> iznosu od 218.930,29 eura i to zbog veće realizacije prihoda od prodaje nekretnina, prihoda temeljem prijenosa EU i povećanjem prihoda od komunalne naknade zbog povećanja vrijednosti boda u 2025. godini.</w:t>
      </w:r>
    </w:p>
    <w:p w:rsidR="002A6F4E" w:rsidRDefault="00D94E62">
      <w:r>
        <w:br/>
      </w:r>
    </w:p>
    <w:p w:rsidR="002A6F4E" w:rsidRDefault="00D94E62">
      <w:pPr>
        <w:keepNext/>
        <w:spacing w:line="240" w:lineRule="auto"/>
        <w:jc w:val="center"/>
      </w:pPr>
      <w:r>
        <w:rPr>
          <w:sz w:val="28"/>
        </w:rPr>
        <w:t>Bilješka 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2A6F4E">
        <w:trPr>
          <w:cantSplit/>
        </w:trPr>
        <w:tc>
          <w:tcPr>
            <w:tcW w:w="700" w:type="dxa"/>
            <w:shd w:val="clear" w:color="auto" w:fill="E7F0F9"/>
            <w:tcMar>
              <w:top w:w="0" w:type="dxa"/>
              <w:bottom w:w="0" w:type="dxa"/>
            </w:tcMar>
            <w:vAlign w:val="center"/>
          </w:tcPr>
          <w:p w:rsidR="002A6F4E" w:rsidRDefault="00D94E62">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2A6F4E" w:rsidRDefault="00D94E62">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2A6F4E" w:rsidRDefault="00D94E62">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2A6F4E" w:rsidRDefault="00D94E62">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2A6F4E" w:rsidRDefault="00D94E62">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2A6F4E" w:rsidRDefault="00D94E62">
            <w:pPr>
              <w:keepNext/>
              <w:keepLines/>
              <w:spacing w:after="0" w:line="240" w:lineRule="auto"/>
              <w:jc w:val="center"/>
            </w:pPr>
            <w:r>
              <w:rPr>
                <w:b/>
                <w:sz w:val="18"/>
              </w:rPr>
              <w:t>Indeks (%)</w:t>
            </w:r>
          </w:p>
        </w:tc>
      </w:tr>
      <w:tr w:rsidR="002A6F4E">
        <w:trPr>
          <w:cantSplit/>
          <w:trHeight w:val="560"/>
        </w:trPr>
        <w:tc>
          <w:tcPr>
            <w:tcW w:w="700" w:type="dxa"/>
            <w:tcMar>
              <w:top w:w="0" w:type="dxa"/>
              <w:bottom w:w="0" w:type="dxa"/>
            </w:tcMar>
            <w:vAlign w:val="center"/>
          </w:tcPr>
          <w:p w:rsidR="002A6F4E" w:rsidRDefault="00D94E62">
            <w:pPr>
              <w:keepNext/>
              <w:keepLines/>
              <w:spacing w:after="0" w:line="240" w:lineRule="auto"/>
            </w:pPr>
            <w:r>
              <w:rPr>
                <w:sz w:val="18"/>
              </w:rPr>
              <w:t>6</w:t>
            </w:r>
          </w:p>
        </w:tc>
        <w:tc>
          <w:tcPr>
            <w:tcW w:w="3180" w:type="dxa"/>
            <w:tcMar>
              <w:top w:w="0" w:type="dxa"/>
              <w:bottom w:w="0" w:type="dxa"/>
            </w:tcMar>
            <w:vAlign w:val="center"/>
          </w:tcPr>
          <w:p w:rsidR="002A6F4E" w:rsidRDefault="00D94E62">
            <w:pPr>
              <w:keepNext/>
              <w:keepLines/>
              <w:spacing w:after="0" w:line="240" w:lineRule="auto"/>
            </w:pPr>
            <w:r>
              <w:rPr>
                <w:sz w:val="18"/>
              </w:rPr>
              <w:t>PRIHODI POSLOVANJA (šifre 61+62+63+64+65+66+67+68)</w:t>
            </w:r>
          </w:p>
        </w:tc>
        <w:tc>
          <w:tcPr>
            <w:tcW w:w="700" w:type="dxa"/>
            <w:tcMar>
              <w:top w:w="0" w:type="dxa"/>
              <w:bottom w:w="0" w:type="dxa"/>
            </w:tcMar>
            <w:vAlign w:val="center"/>
          </w:tcPr>
          <w:p w:rsidR="002A6F4E" w:rsidRDefault="00D94E62">
            <w:pPr>
              <w:keepNext/>
              <w:keepLines/>
              <w:spacing w:after="0" w:line="240" w:lineRule="auto"/>
            </w:pPr>
            <w:r>
              <w:rPr>
                <w:sz w:val="18"/>
              </w:rPr>
              <w:t>6</w:t>
            </w:r>
          </w:p>
        </w:tc>
        <w:tc>
          <w:tcPr>
            <w:tcW w:w="1860" w:type="dxa"/>
            <w:tcMar>
              <w:top w:w="0" w:type="dxa"/>
              <w:bottom w:w="0" w:type="dxa"/>
            </w:tcMar>
            <w:vAlign w:val="center"/>
          </w:tcPr>
          <w:p w:rsidR="002A6F4E" w:rsidRDefault="00D94E62">
            <w:pPr>
              <w:keepNext/>
              <w:keepLines/>
              <w:spacing w:after="0" w:line="240" w:lineRule="auto"/>
              <w:jc w:val="right"/>
            </w:pPr>
            <w:r>
              <w:rPr>
                <w:sz w:val="18"/>
              </w:rPr>
              <w:t>2.580.141,11</w:t>
            </w:r>
          </w:p>
        </w:tc>
        <w:tc>
          <w:tcPr>
            <w:tcW w:w="1860" w:type="dxa"/>
            <w:tcMar>
              <w:top w:w="0" w:type="dxa"/>
              <w:bottom w:w="0" w:type="dxa"/>
            </w:tcMar>
            <w:vAlign w:val="center"/>
          </w:tcPr>
          <w:p w:rsidR="002A6F4E" w:rsidRDefault="00D94E62">
            <w:pPr>
              <w:keepNext/>
              <w:keepLines/>
              <w:spacing w:after="0" w:line="240" w:lineRule="auto"/>
              <w:jc w:val="right"/>
            </w:pPr>
            <w:r>
              <w:rPr>
                <w:sz w:val="18"/>
              </w:rPr>
              <w:t>3.185.778,52</w:t>
            </w:r>
          </w:p>
        </w:tc>
        <w:tc>
          <w:tcPr>
            <w:tcW w:w="700" w:type="dxa"/>
            <w:tcMar>
              <w:top w:w="0" w:type="dxa"/>
              <w:bottom w:w="0" w:type="dxa"/>
            </w:tcMar>
            <w:vAlign w:val="center"/>
          </w:tcPr>
          <w:p w:rsidR="002A6F4E" w:rsidRDefault="00D94E62">
            <w:pPr>
              <w:keepNext/>
              <w:keepLines/>
              <w:spacing w:after="0" w:line="240" w:lineRule="auto"/>
              <w:jc w:val="right"/>
            </w:pPr>
            <w:r>
              <w:rPr>
                <w:sz w:val="18"/>
              </w:rPr>
              <w:t>123,5</w:t>
            </w:r>
          </w:p>
        </w:tc>
      </w:tr>
    </w:tbl>
    <w:p w:rsidR="002A6F4E" w:rsidRDefault="002A6F4E">
      <w:pPr>
        <w:spacing w:after="0"/>
      </w:pPr>
    </w:p>
    <w:p w:rsidR="002A6F4E" w:rsidRDefault="00D94E62" w:rsidP="00D347BA">
      <w:pPr>
        <w:jc w:val="both"/>
      </w:pPr>
      <w:r>
        <w:t>Prihodi poslovanja u razdoblju od 1. siječnja do 31. prosinca 2025. godine ostvareni su u iznosu od 3.185.778,52 eura što je za 23,5 % više u odnosu na 2025. godinu i najveći udio povećanje se odnosi u stavkama poreza na dohodak od kapitala, prihodi pomoći od izvanproračunskih korisnika, tekuće pomoći temeljem prijenosa EU sredstava i prihoda od imovine</w:t>
      </w:r>
    </w:p>
    <w:p w:rsidR="002A6F4E" w:rsidRDefault="00D94E62" w:rsidP="00D347BA">
      <w:pPr>
        <w:jc w:val="both"/>
      </w:pPr>
      <w:r>
        <w:t xml:space="preserve">Rashodi poslovanja u izvještajnom razdoblju ostvareni su u iznosu od 2.481.415,47 eura što je za 11,5 % više u odnosu na isto razdoblje 2025. godine. Na povećanje rashoda poslovanja najviše je utjecao porast plaća zaposlenih, porast materijalnih troškova za zaposlene (naknada za prijevoz), povrat poreza na dohodak po godišnjoj poreznoj prijavi, te troškovi za provođenje </w:t>
      </w:r>
      <w:proofErr w:type="spellStart"/>
      <w:r>
        <w:t>lokalnh</w:t>
      </w:r>
      <w:proofErr w:type="spellEnd"/>
      <w:r>
        <w:t xml:space="preserve"> izbora.</w:t>
      </w:r>
    </w:p>
    <w:p w:rsidR="002A6F4E" w:rsidRDefault="00D94E62" w:rsidP="00D347BA">
      <w:pPr>
        <w:jc w:val="both"/>
      </w:pPr>
      <w:r>
        <w:t>Prihodi od prodaje nefinancijske imovine ostvareni su u iznosu od 159.285,23 eura što predstavlja povećanje prihoda od 105,00 % u odnosu na 2024. godinu. Ostvareni prihodi odnose se na ostvarene prihode po kupoprodaji zemljišta po raspisanim natječajima u 2024. i 2025. godini. </w:t>
      </w:r>
    </w:p>
    <w:p w:rsidR="002A6F4E" w:rsidRDefault="00D94E62" w:rsidP="00D347BA">
      <w:pPr>
        <w:jc w:val="both"/>
      </w:pPr>
      <w:r>
        <w:t xml:space="preserve">Istovremeno, rashodi za nabavu nefinancijske imovine ostvareni su u iznosu od 545.948,85 eura što predstavlja smanjenje za 42,50% u odnosu na isto razdoblje prošle godine. Do smanjenja </w:t>
      </w:r>
      <w:r>
        <w:lastRenderedPageBreak/>
        <w:t>ove vrste rashoda u odnosu na prethodnu godinu je došlo zbog nižeg ostvarenja prihoda u odnosu na plan, odnosno izostanka kapitalnih pomoći iz državnog i županijskog proračuna za kandidirane projekte u planiranom iznosu.  </w:t>
      </w:r>
    </w:p>
    <w:p w:rsidR="002A6F4E" w:rsidRDefault="00D94E62" w:rsidP="00D347BA">
      <w:pPr>
        <w:jc w:val="both"/>
      </w:pPr>
      <w:r>
        <w:t xml:space="preserve">Ukupni primici od financijske imovine i zaduživanja u izvještajnom razdoblju se nisu planirani, pa samim time nisu ni realizirani. Ukupni izdaci za financijsku imovinu i otplate zajmova ostvareni su u iznosu od 98.769,14 eura ili 96,90 % od plana, te se isti odnose na otplatu dugoročnih kredita Općine </w:t>
      </w:r>
      <w:proofErr w:type="spellStart"/>
      <w:r>
        <w:t>Fužine</w:t>
      </w:r>
      <w:proofErr w:type="spellEnd"/>
      <w:r>
        <w:t>.  </w:t>
      </w:r>
    </w:p>
    <w:p w:rsidR="002A6F4E" w:rsidRDefault="00D94E62" w:rsidP="00D347BA">
      <w:pPr>
        <w:jc w:val="both"/>
      </w:pPr>
      <w:r>
        <w:t xml:space="preserve">U izvještajnom razdoblju ostvaren je višak prihoda i primitaka na dan 31. prosinca 2025. godine u iznosu od 218.930,29 eura i to zbog veće realizacije prihoda od prodaje nekretnina po raspisanim natječajima iz </w:t>
      </w:r>
      <w:proofErr w:type="spellStart"/>
      <w:r>
        <w:t>pethodne</w:t>
      </w:r>
      <w:proofErr w:type="spellEnd"/>
      <w:r>
        <w:t xml:space="preserve"> godine, prihoda temeljem prijenosa EU za realizirane projekte iz prethodnih godina i povećanjem prihoda od komunalne naknade zbog povećanja vrijednosti boda u 2025. godini.</w:t>
      </w:r>
    </w:p>
    <w:p w:rsidR="002A6F4E" w:rsidRDefault="002A6F4E"/>
    <w:p w:rsidR="002A6F4E" w:rsidRDefault="00D94E62">
      <w:pPr>
        <w:keepNext/>
        <w:spacing w:line="240" w:lineRule="auto"/>
        <w:jc w:val="center"/>
      </w:pPr>
      <w:r>
        <w:rPr>
          <w:sz w:val="28"/>
        </w:rPr>
        <w:t>Bilješka 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2A6F4E">
        <w:trPr>
          <w:cantSplit/>
        </w:trPr>
        <w:tc>
          <w:tcPr>
            <w:tcW w:w="700" w:type="dxa"/>
            <w:shd w:val="clear" w:color="auto" w:fill="E7F0F9"/>
            <w:tcMar>
              <w:top w:w="0" w:type="dxa"/>
              <w:bottom w:w="0" w:type="dxa"/>
            </w:tcMar>
            <w:vAlign w:val="center"/>
          </w:tcPr>
          <w:p w:rsidR="002A6F4E" w:rsidRDefault="00D94E62">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2A6F4E" w:rsidRDefault="00D94E62">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2A6F4E" w:rsidRDefault="00D94E62">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2A6F4E" w:rsidRDefault="00D94E62">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2A6F4E" w:rsidRDefault="00D94E62">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2A6F4E" w:rsidRDefault="00D94E62">
            <w:pPr>
              <w:keepNext/>
              <w:keepLines/>
              <w:spacing w:after="0" w:line="240" w:lineRule="auto"/>
              <w:jc w:val="center"/>
            </w:pPr>
            <w:r>
              <w:rPr>
                <w:b/>
                <w:sz w:val="18"/>
              </w:rPr>
              <w:t>Indeks (%)</w:t>
            </w:r>
          </w:p>
        </w:tc>
      </w:tr>
      <w:tr w:rsidR="002A6F4E">
        <w:trPr>
          <w:cantSplit/>
          <w:trHeight w:val="560"/>
        </w:trPr>
        <w:tc>
          <w:tcPr>
            <w:tcW w:w="700" w:type="dxa"/>
            <w:tcMar>
              <w:top w:w="0" w:type="dxa"/>
              <w:bottom w:w="0" w:type="dxa"/>
            </w:tcMar>
            <w:vAlign w:val="center"/>
          </w:tcPr>
          <w:p w:rsidR="002A6F4E" w:rsidRDefault="00D94E62">
            <w:pPr>
              <w:keepNext/>
              <w:keepLines/>
              <w:spacing w:after="0" w:line="240" w:lineRule="auto"/>
            </w:pPr>
            <w:r>
              <w:rPr>
                <w:sz w:val="18"/>
              </w:rPr>
              <w:t>61</w:t>
            </w:r>
          </w:p>
        </w:tc>
        <w:tc>
          <w:tcPr>
            <w:tcW w:w="3180" w:type="dxa"/>
            <w:tcMar>
              <w:top w:w="0" w:type="dxa"/>
              <w:bottom w:w="0" w:type="dxa"/>
            </w:tcMar>
            <w:vAlign w:val="center"/>
          </w:tcPr>
          <w:p w:rsidR="002A6F4E" w:rsidRDefault="00D94E62">
            <w:pPr>
              <w:keepNext/>
              <w:keepLines/>
              <w:spacing w:after="0" w:line="240" w:lineRule="auto"/>
            </w:pPr>
            <w:r>
              <w:rPr>
                <w:sz w:val="18"/>
              </w:rPr>
              <w:t>Prihodi od poreza (šifre 611+612+613+614+615+616)</w:t>
            </w:r>
          </w:p>
        </w:tc>
        <w:tc>
          <w:tcPr>
            <w:tcW w:w="700" w:type="dxa"/>
            <w:tcMar>
              <w:top w:w="0" w:type="dxa"/>
              <w:bottom w:w="0" w:type="dxa"/>
            </w:tcMar>
            <w:vAlign w:val="center"/>
          </w:tcPr>
          <w:p w:rsidR="002A6F4E" w:rsidRDefault="00D94E62">
            <w:pPr>
              <w:keepNext/>
              <w:keepLines/>
              <w:spacing w:after="0" w:line="240" w:lineRule="auto"/>
            </w:pPr>
            <w:r>
              <w:rPr>
                <w:sz w:val="18"/>
              </w:rPr>
              <w:t>61</w:t>
            </w:r>
          </w:p>
        </w:tc>
        <w:tc>
          <w:tcPr>
            <w:tcW w:w="1860" w:type="dxa"/>
            <w:tcMar>
              <w:top w:w="0" w:type="dxa"/>
              <w:bottom w:w="0" w:type="dxa"/>
            </w:tcMar>
            <w:vAlign w:val="center"/>
          </w:tcPr>
          <w:p w:rsidR="002A6F4E" w:rsidRDefault="00D94E62">
            <w:pPr>
              <w:keepNext/>
              <w:keepLines/>
              <w:spacing w:after="0" w:line="240" w:lineRule="auto"/>
              <w:jc w:val="right"/>
            </w:pPr>
            <w:r>
              <w:rPr>
                <w:sz w:val="18"/>
              </w:rPr>
              <w:t>1.170.199,88</w:t>
            </w:r>
          </w:p>
        </w:tc>
        <w:tc>
          <w:tcPr>
            <w:tcW w:w="1860" w:type="dxa"/>
            <w:tcMar>
              <w:top w:w="0" w:type="dxa"/>
              <w:bottom w:w="0" w:type="dxa"/>
            </w:tcMar>
            <w:vAlign w:val="center"/>
          </w:tcPr>
          <w:p w:rsidR="002A6F4E" w:rsidRDefault="00D94E62">
            <w:pPr>
              <w:keepNext/>
              <w:keepLines/>
              <w:spacing w:after="0" w:line="240" w:lineRule="auto"/>
              <w:jc w:val="right"/>
            </w:pPr>
            <w:r>
              <w:rPr>
                <w:sz w:val="18"/>
              </w:rPr>
              <w:t>1.378.360,43</w:t>
            </w:r>
          </w:p>
        </w:tc>
        <w:tc>
          <w:tcPr>
            <w:tcW w:w="700" w:type="dxa"/>
            <w:tcMar>
              <w:top w:w="0" w:type="dxa"/>
              <w:bottom w:w="0" w:type="dxa"/>
            </w:tcMar>
            <w:vAlign w:val="center"/>
          </w:tcPr>
          <w:p w:rsidR="002A6F4E" w:rsidRDefault="00D94E62">
            <w:pPr>
              <w:keepNext/>
              <w:keepLines/>
              <w:spacing w:after="0" w:line="240" w:lineRule="auto"/>
              <w:jc w:val="right"/>
            </w:pPr>
            <w:r>
              <w:rPr>
                <w:sz w:val="18"/>
              </w:rPr>
              <w:t>117,8</w:t>
            </w:r>
          </w:p>
        </w:tc>
      </w:tr>
    </w:tbl>
    <w:p w:rsidR="002A6F4E" w:rsidRDefault="002A6F4E">
      <w:pPr>
        <w:spacing w:after="0"/>
      </w:pPr>
    </w:p>
    <w:p w:rsidR="002A6F4E" w:rsidRDefault="00D94E62" w:rsidP="00D347BA">
      <w:pPr>
        <w:jc w:val="both"/>
      </w:pPr>
      <w:r>
        <w:t xml:space="preserve">Prihod od poreza ostvaren je u </w:t>
      </w:r>
      <w:proofErr w:type="spellStart"/>
      <w:r>
        <w:t>znosu</w:t>
      </w:r>
      <w:proofErr w:type="spellEnd"/>
      <w:r>
        <w:t xml:space="preserve"> od 1.378.360,43 eura ili 17, 8 % više u odnosu na prethodno izvještajno razdoblje zbog povećanja visina plaća u gospodarstvu i kontinuirane kupoprodaje nekretnina na području Općine </w:t>
      </w:r>
      <w:proofErr w:type="spellStart"/>
      <w:r>
        <w:t>Fužine</w:t>
      </w:r>
      <w:proofErr w:type="spellEnd"/>
      <w:r>
        <w:t>.</w:t>
      </w:r>
    </w:p>
    <w:p w:rsidR="002A6F4E" w:rsidRDefault="002A6F4E"/>
    <w:p w:rsidR="002A6F4E" w:rsidRDefault="00D94E62">
      <w:pPr>
        <w:keepNext/>
        <w:spacing w:line="240" w:lineRule="auto"/>
        <w:jc w:val="center"/>
      </w:pPr>
      <w:r>
        <w:rPr>
          <w:sz w:val="28"/>
        </w:rPr>
        <w:t>Bilješka 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2A6F4E">
        <w:trPr>
          <w:cantSplit/>
        </w:trPr>
        <w:tc>
          <w:tcPr>
            <w:tcW w:w="700" w:type="dxa"/>
            <w:shd w:val="clear" w:color="auto" w:fill="E7F0F9"/>
            <w:tcMar>
              <w:top w:w="0" w:type="dxa"/>
              <w:bottom w:w="0" w:type="dxa"/>
            </w:tcMar>
            <w:vAlign w:val="center"/>
          </w:tcPr>
          <w:p w:rsidR="002A6F4E" w:rsidRDefault="00D94E62">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2A6F4E" w:rsidRDefault="00D94E62">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2A6F4E" w:rsidRDefault="00D94E62">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2A6F4E" w:rsidRDefault="00D94E62">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2A6F4E" w:rsidRDefault="00D94E62">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2A6F4E" w:rsidRDefault="00D94E62">
            <w:pPr>
              <w:keepNext/>
              <w:keepLines/>
              <w:spacing w:after="0" w:line="240" w:lineRule="auto"/>
              <w:jc w:val="center"/>
            </w:pPr>
            <w:r>
              <w:rPr>
                <w:b/>
                <w:sz w:val="18"/>
              </w:rPr>
              <w:t>Indeks (%)</w:t>
            </w:r>
          </w:p>
        </w:tc>
      </w:tr>
      <w:tr w:rsidR="002A6F4E">
        <w:trPr>
          <w:cantSplit/>
          <w:trHeight w:val="560"/>
        </w:trPr>
        <w:tc>
          <w:tcPr>
            <w:tcW w:w="700" w:type="dxa"/>
            <w:tcMar>
              <w:top w:w="0" w:type="dxa"/>
              <w:bottom w:w="0" w:type="dxa"/>
            </w:tcMar>
            <w:vAlign w:val="center"/>
          </w:tcPr>
          <w:p w:rsidR="002A6F4E" w:rsidRDefault="00D94E62">
            <w:pPr>
              <w:keepNext/>
              <w:keepLines/>
              <w:spacing w:after="0" w:line="240" w:lineRule="auto"/>
            </w:pPr>
            <w:r>
              <w:rPr>
                <w:sz w:val="18"/>
              </w:rPr>
              <w:t>611</w:t>
            </w:r>
          </w:p>
        </w:tc>
        <w:tc>
          <w:tcPr>
            <w:tcW w:w="3180" w:type="dxa"/>
            <w:tcMar>
              <w:top w:w="0" w:type="dxa"/>
              <w:bottom w:w="0" w:type="dxa"/>
            </w:tcMar>
            <w:vAlign w:val="center"/>
          </w:tcPr>
          <w:p w:rsidR="002A6F4E" w:rsidRDefault="00D94E62">
            <w:pPr>
              <w:keepNext/>
              <w:keepLines/>
              <w:spacing w:after="0" w:line="240" w:lineRule="auto"/>
            </w:pPr>
            <w:r>
              <w:rPr>
                <w:sz w:val="18"/>
              </w:rPr>
              <w:t>Porez na dohodak (šifre 6111 do 6116 - 6117 - 6119)</w:t>
            </w:r>
          </w:p>
        </w:tc>
        <w:tc>
          <w:tcPr>
            <w:tcW w:w="700" w:type="dxa"/>
            <w:tcMar>
              <w:top w:w="0" w:type="dxa"/>
              <w:bottom w:w="0" w:type="dxa"/>
            </w:tcMar>
            <w:vAlign w:val="center"/>
          </w:tcPr>
          <w:p w:rsidR="002A6F4E" w:rsidRDefault="00D94E62">
            <w:pPr>
              <w:keepNext/>
              <w:keepLines/>
              <w:spacing w:after="0" w:line="240" w:lineRule="auto"/>
            </w:pPr>
            <w:r>
              <w:rPr>
                <w:sz w:val="18"/>
              </w:rPr>
              <w:t>611</w:t>
            </w:r>
          </w:p>
        </w:tc>
        <w:tc>
          <w:tcPr>
            <w:tcW w:w="1860" w:type="dxa"/>
            <w:tcMar>
              <w:top w:w="0" w:type="dxa"/>
              <w:bottom w:w="0" w:type="dxa"/>
            </w:tcMar>
            <w:vAlign w:val="center"/>
          </w:tcPr>
          <w:p w:rsidR="002A6F4E" w:rsidRDefault="00D94E62">
            <w:pPr>
              <w:keepNext/>
              <w:keepLines/>
              <w:spacing w:after="0" w:line="240" w:lineRule="auto"/>
              <w:jc w:val="right"/>
            </w:pPr>
            <w:r>
              <w:rPr>
                <w:sz w:val="18"/>
              </w:rPr>
              <w:t>918.307,95</w:t>
            </w:r>
          </w:p>
        </w:tc>
        <w:tc>
          <w:tcPr>
            <w:tcW w:w="1860" w:type="dxa"/>
            <w:tcMar>
              <w:top w:w="0" w:type="dxa"/>
              <w:bottom w:w="0" w:type="dxa"/>
            </w:tcMar>
            <w:vAlign w:val="center"/>
          </w:tcPr>
          <w:p w:rsidR="002A6F4E" w:rsidRDefault="00D94E62">
            <w:pPr>
              <w:keepNext/>
              <w:keepLines/>
              <w:spacing w:after="0" w:line="240" w:lineRule="auto"/>
              <w:jc w:val="right"/>
            </w:pPr>
            <w:r>
              <w:rPr>
                <w:sz w:val="18"/>
              </w:rPr>
              <w:t>1.093.672,73</w:t>
            </w:r>
          </w:p>
        </w:tc>
        <w:tc>
          <w:tcPr>
            <w:tcW w:w="700" w:type="dxa"/>
            <w:tcMar>
              <w:top w:w="0" w:type="dxa"/>
              <w:bottom w:w="0" w:type="dxa"/>
            </w:tcMar>
            <w:vAlign w:val="center"/>
          </w:tcPr>
          <w:p w:rsidR="002A6F4E" w:rsidRDefault="00D94E62">
            <w:pPr>
              <w:keepNext/>
              <w:keepLines/>
              <w:spacing w:after="0" w:line="240" w:lineRule="auto"/>
              <w:jc w:val="right"/>
            </w:pPr>
            <w:r>
              <w:rPr>
                <w:sz w:val="18"/>
              </w:rPr>
              <w:t>119,1</w:t>
            </w:r>
          </w:p>
        </w:tc>
      </w:tr>
    </w:tbl>
    <w:p w:rsidR="002A6F4E" w:rsidRDefault="002A6F4E">
      <w:pPr>
        <w:spacing w:after="0"/>
      </w:pPr>
    </w:p>
    <w:p w:rsidR="002A6F4E" w:rsidRDefault="00D94E62">
      <w:r>
        <w:t>Porez na dohodak ostvaren je u iznosu od 1.093.672,73 eura ili za 19,1 % više u odnosu na plan iz prethodne godine. Obuhvaća sljedeće skupine poreza na dohodak:</w:t>
      </w:r>
    </w:p>
    <w:p w:rsidR="002A6F4E" w:rsidRDefault="00D94E62">
      <w:r>
        <w:t> </w:t>
      </w:r>
    </w:p>
    <w:p w:rsidR="002A6F4E" w:rsidRDefault="00D94E62">
      <w:r>
        <w:t>            - porez na dohodak od nesamostalnog rada                                        864.354,14 eura</w:t>
      </w:r>
    </w:p>
    <w:p w:rsidR="002A6F4E" w:rsidRDefault="00D94E62">
      <w:r>
        <w:t>            - porez na dohodak od samostalnih djelatnosti                                     80.945,74 eura</w:t>
      </w:r>
    </w:p>
    <w:p w:rsidR="002A6F4E" w:rsidRDefault="00D94E62">
      <w:r>
        <w:t xml:space="preserve">            - porez na dohodak od imovine i imovinskih prava                         </w:t>
      </w:r>
      <w:r w:rsidR="00D347BA">
        <w:t xml:space="preserve"> </w:t>
      </w:r>
      <w:r>
        <w:t>    52.936,47 eura</w:t>
      </w:r>
    </w:p>
    <w:p w:rsidR="002A6F4E" w:rsidRDefault="00D94E62">
      <w:r>
        <w:t>            - porez na dohodak po godišnjo</w:t>
      </w:r>
      <w:r w:rsidR="00D347BA">
        <w:t>j</w:t>
      </w:r>
      <w:r>
        <w:t xml:space="preserve"> prijavi                                            </w:t>
      </w:r>
      <w:r w:rsidR="00D347BA">
        <w:t xml:space="preserve"> </w:t>
      </w:r>
      <w:r>
        <w:t xml:space="preserve">   28.881,93 eura</w:t>
      </w:r>
    </w:p>
    <w:p w:rsidR="002A6F4E" w:rsidRDefault="00D94E62">
      <w:r>
        <w:t>            - porez na dohodak od kapitala                                                            66.554,45  eura</w:t>
      </w:r>
    </w:p>
    <w:p w:rsidR="002A6F4E" w:rsidRDefault="00D94E62">
      <w:r>
        <w:t>                                                                                              Ukupno:          1.093.672,73 eura.</w:t>
      </w:r>
    </w:p>
    <w:p w:rsidR="002A6F4E" w:rsidRDefault="00D94E62">
      <w:r>
        <w:lastRenderedPageBreak/>
        <w:t> </w:t>
      </w:r>
    </w:p>
    <w:p w:rsidR="002A6F4E" w:rsidRDefault="00D94E62" w:rsidP="00D347BA">
      <w:pPr>
        <w:jc w:val="both"/>
      </w:pPr>
      <w:r>
        <w:t xml:space="preserve">Povećanje u odnosu na prethodnu godinu posljedica je povećanja plaća u javnom i privatnom sektoru te promjena mjesta prebivališta na području Općine </w:t>
      </w:r>
      <w:proofErr w:type="spellStart"/>
      <w:r>
        <w:t>Fužine</w:t>
      </w:r>
      <w:proofErr w:type="spellEnd"/>
      <w:r>
        <w:t>.</w:t>
      </w:r>
    </w:p>
    <w:p w:rsidR="002A6F4E" w:rsidRDefault="002A6F4E"/>
    <w:p w:rsidR="002A6F4E" w:rsidRDefault="00D94E62">
      <w:pPr>
        <w:keepNext/>
        <w:spacing w:line="240" w:lineRule="auto"/>
        <w:jc w:val="center"/>
      </w:pPr>
      <w:r>
        <w:rPr>
          <w:sz w:val="28"/>
        </w:rPr>
        <w:t>Bilješka 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2A6F4E">
        <w:trPr>
          <w:cantSplit/>
        </w:trPr>
        <w:tc>
          <w:tcPr>
            <w:tcW w:w="700" w:type="dxa"/>
            <w:shd w:val="clear" w:color="auto" w:fill="E7F0F9"/>
            <w:tcMar>
              <w:top w:w="0" w:type="dxa"/>
              <w:bottom w:w="0" w:type="dxa"/>
            </w:tcMar>
            <w:vAlign w:val="center"/>
          </w:tcPr>
          <w:p w:rsidR="002A6F4E" w:rsidRDefault="00D94E62">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2A6F4E" w:rsidRDefault="00D94E62">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2A6F4E" w:rsidRDefault="00D94E62">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2A6F4E" w:rsidRDefault="00D94E62">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2A6F4E" w:rsidRDefault="00D94E62">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2A6F4E" w:rsidRDefault="00D94E62">
            <w:pPr>
              <w:keepNext/>
              <w:keepLines/>
              <w:spacing w:after="0" w:line="240" w:lineRule="auto"/>
              <w:jc w:val="center"/>
            </w:pPr>
            <w:r>
              <w:rPr>
                <w:b/>
                <w:sz w:val="18"/>
              </w:rPr>
              <w:t>Indeks (%)</w:t>
            </w:r>
          </w:p>
        </w:tc>
      </w:tr>
      <w:tr w:rsidR="002A6F4E">
        <w:trPr>
          <w:cantSplit/>
          <w:trHeight w:val="560"/>
        </w:trPr>
        <w:tc>
          <w:tcPr>
            <w:tcW w:w="700" w:type="dxa"/>
            <w:tcMar>
              <w:top w:w="0" w:type="dxa"/>
              <w:bottom w:w="0" w:type="dxa"/>
            </w:tcMar>
            <w:vAlign w:val="center"/>
          </w:tcPr>
          <w:p w:rsidR="002A6F4E" w:rsidRDefault="00D94E62">
            <w:pPr>
              <w:keepNext/>
              <w:keepLines/>
              <w:spacing w:after="0" w:line="240" w:lineRule="auto"/>
            </w:pPr>
            <w:r>
              <w:rPr>
                <w:sz w:val="18"/>
              </w:rPr>
              <w:t>613</w:t>
            </w:r>
          </w:p>
        </w:tc>
        <w:tc>
          <w:tcPr>
            <w:tcW w:w="3180" w:type="dxa"/>
            <w:tcMar>
              <w:top w:w="0" w:type="dxa"/>
              <w:bottom w:w="0" w:type="dxa"/>
            </w:tcMar>
            <w:vAlign w:val="center"/>
          </w:tcPr>
          <w:p w:rsidR="002A6F4E" w:rsidRDefault="00D94E62">
            <w:pPr>
              <w:keepNext/>
              <w:keepLines/>
              <w:spacing w:after="0" w:line="240" w:lineRule="auto"/>
            </w:pPr>
            <w:r>
              <w:rPr>
                <w:sz w:val="18"/>
              </w:rPr>
              <w:t>Porezi na imovinu (šifre 6131 do 6135)</w:t>
            </w:r>
          </w:p>
        </w:tc>
        <w:tc>
          <w:tcPr>
            <w:tcW w:w="700" w:type="dxa"/>
            <w:tcMar>
              <w:top w:w="0" w:type="dxa"/>
              <w:bottom w:w="0" w:type="dxa"/>
            </w:tcMar>
            <w:vAlign w:val="center"/>
          </w:tcPr>
          <w:p w:rsidR="002A6F4E" w:rsidRDefault="00D94E62">
            <w:pPr>
              <w:keepNext/>
              <w:keepLines/>
              <w:spacing w:after="0" w:line="240" w:lineRule="auto"/>
            </w:pPr>
            <w:r>
              <w:rPr>
                <w:sz w:val="18"/>
              </w:rPr>
              <w:t>613</w:t>
            </w:r>
          </w:p>
        </w:tc>
        <w:tc>
          <w:tcPr>
            <w:tcW w:w="1860" w:type="dxa"/>
            <w:tcMar>
              <w:top w:w="0" w:type="dxa"/>
              <w:bottom w:w="0" w:type="dxa"/>
            </w:tcMar>
            <w:vAlign w:val="center"/>
          </w:tcPr>
          <w:p w:rsidR="002A6F4E" w:rsidRDefault="00D94E62">
            <w:pPr>
              <w:keepNext/>
              <w:keepLines/>
              <w:spacing w:after="0" w:line="240" w:lineRule="auto"/>
              <w:jc w:val="right"/>
            </w:pPr>
            <w:r>
              <w:rPr>
                <w:sz w:val="18"/>
              </w:rPr>
              <w:t>238.198,40</w:t>
            </w:r>
          </w:p>
        </w:tc>
        <w:tc>
          <w:tcPr>
            <w:tcW w:w="1860" w:type="dxa"/>
            <w:tcMar>
              <w:top w:w="0" w:type="dxa"/>
              <w:bottom w:w="0" w:type="dxa"/>
            </w:tcMar>
            <w:vAlign w:val="center"/>
          </w:tcPr>
          <w:p w:rsidR="002A6F4E" w:rsidRDefault="00D94E62">
            <w:pPr>
              <w:keepNext/>
              <w:keepLines/>
              <w:spacing w:after="0" w:line="240" w:lineRule="auto"/>
              <w:jc w:val="right"/>
            </w:pPr>
            <w:r>
              <w:rPr>
                <w:sz w:val="18"/>
              </w:rPr>
              <w:t>269.179,07</w:t>
            </w:r>
          </w:p>
        </w:tc>
        <w:tc>
          <w:tcPr>
            <w:tcW w:w="700" w:type="dxa"/>
            <w:tcMar>
              <w:top w:w="0" w:type="dxa"/>
              <w:bottom w:w="0" w:type="dxa"/>
            </w:tcMar>
            <w:vAlign w:val="center"/>
          </w:tcPr>
          <w:p w:rsidR="002A6F4E" w:rsidRDefault="00D94E62">
            <w:pPr>
              <w:keepNext/>
              <w:keepLines/>
              <w:spacing w:after="0" w:line="240" w:lineRule="auto"/>
              <w:jc w:val="right"/>
            </w:pPr>
            <w:r>
              <w:rPr>
                <w:sz w:val="18"/>
              </w:rPr>
              <w:t>113,0</w:t>
            </w:r>
          </w:p>
        </w:tc>
      </w:tr>
    </w:tbl>
    <w:p w:rsidR="002A6F4E" w:rsidRDefault="002A6F4E">
      <w:pPr>
        <w:spacing w:after="0"/>
      </w:pPr>
    </w:p>
    <w:p w:rsidR="002A6F4E" w:rsidRDefault="00D94E62">
      <w:r>
        <w:t>Šifra 613 – Porezi na imovinu obuhvaćaju sljedeće poreze:</w:t>
      </w:r>
    </w:p>
    <w:p w:rsidR="002A6F4E" w:rsidRDefault="00D94E62">
      <w:r>
        <w:t>                                                                           </w:t>
      </w:r>
    </w:p>
    <w:p w:rsidR="002A6F4E" w:rsidRDefault="00D94E62">
      <w:r>
        <w:t>- porez na kuće za odmor (šifra 6131)                                                </w:t>
      </w:r>
      <w:r w:rsidR="00D347BA">
        <w:t xml:space="preserve"> </w:t>
      </w:r>
      <w:r>
        <w:t xml:space="preserve">     6.501,88  eura </w:t>
      </w:r>
    </w:p>
    <w:p w:rsidR="002A6F4E" w:rsidRDefault="00D94E62">
      <w:r>
        <w:t>- porez na nekretnine (šifra 6131)                                                           79.840,15  eura </w:t>
      </w:r>
    </w:p>
    <w:p w:rsidR="002A6F4E" w:rsidRDefault="00D94E62">
      <w:r>
        <w:t>- porez na promet nekretnina (šifra 6134)                                        </w:t>
      </w:r>
      <w:r w:rsidR="00D347BA">
        <w:t xml:space="preserve"> </w:t>
      </w:r>
      <w:r>
        <w:t xml:space="preserve">    182.837,04  eura   </w:t>
      </w:r>
    </w:p>
    <w:p w:rsidR="002A6F4E" w:rsidRDefault="00D94E62">
      <w:r>
        <w:t> </w:t>
      </w:r>
    </w:p>
    <w:p w:rsidR="002A6F4E" w:rsidRDefault="00D347BA">
      <w:r>
        <w:t xml:space="preserve">                                                                                    </w:t>
      </w:r>
      <w:r w:rsidR="00D94E62">
        <w:t>Ukupno:              269.179,07 eura. </w:t>
      </w:r>
    </w:p>
    <w:p w:rsidR="002A6F4E" w:rsidRDefault="00D94E62">
      <w:r>
        <w:t> </w:t>
      </w:r>
    </w:p>
    <w:p w:rsidR="002A6F4E" w:rsidRDefault="00D94E62" w:rsidP="00D347BA">
      <w:pPr>
        <w:jc w:val="both"/>
      </w:pPr>
      <w:r>
        <w:t xml:space="preserve">Do povećanja u odnosu na isto razdoblje prethodne godine došlo je za 13,0 % više i to najviše u stavci poreza na promet nekretnina što je rezultat ostvarene kupoprodaje nekretnina na području Općine </w:t>
      </w:r>
      <w:proofErr w:type="spellStart"/>
      <w:r>
        <w:t>Fužine</w:t>
      </w:r>
      <w:proofErr w:type="spellEnd"/>
      <w:r>
        <w:t>.</w:t>
      </w:r>
    </w:p>
    <w:p w:rsidR="002A6F4E" w:rsidRDefault="00D94E62" w:rsidP="00D347BA">
      <w:pPr>
        <w:jc w:val="both"/>
      </w:pPr>
      <w:r>
        <w:t>Od 1. siječnja 2025. godine ukinut je porez na kuće za odmor tako da se ostvareni iznos od 6.501,88 eura odnosi na naplatu duga iz 2024. godine i prijašnjih godina.</w:t>
      </w:r>
    </w:p>
    <w:p w:rsidR="002A6F4E" w:rsidRDefault="00D94E62" w:rsidP="00D347BA">
      <w:pPr>
        <w:jc w:val="both"/>
      </w:pPr>
      <w:r>
        <w:t>Ukinuti porez na kuće za odmor zamijenjen je porezom na nekretnine koji je razrezan krajem 2025. godine tako da je do 31.12.2025. godine naplaćena samo 66,53 % planiranih sredstava što je i dovelo do manjeg izvršenja ove skupine. Razrez poreza na nekretnine vrši Porezna uprava koja je kasnila s razrezom te je to dovelo do manje naplate u odnosu na plan.</w:t>
      </w:r>
    </w:p>
    <w:p w:rsidR="002A6F4E" w:rsidRDefault="002A6F4E"/>
    <w:p w:rsidR="002A6F4E" w:rsidRDefault="00D94E62">
      <w:pPr>
        <w:keepNext/>
        <w:spacing w:line="240" w:lineRule="auto"/>
        <w:jc w:val="center"/>
      </w:pPr>
      <w:r>
        <w:rPr>
          <w:sz w:val="28"/>
        </w:rPr>
        <w:t>Bilješka 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2A6F4E">
        <w:trPr>
          <w:cantSplit/>
        </w:trPr>
        <w:tc>
          <w:tcPr>
            <w:tcW w:w="700" w:type="dxa"/>
            <w:shd w:val="clear" w:color="auto" w:fill="E7F0F9"/>
            <w:tcMar>
              <w:top w:w="0" w:type="dxa"/>
              <w:bottom w:w="0" w:type="dxa"/>
            </w:tcMar>
            <w:vAlign w:val="center"/>
          </w:tcPr>
          <w:p w:rsidR="002A6F4E" w:rsidRDefault="00D94E62">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2A6F4E" w:rsidRDefault="00D94E62">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2A6F4E" w:rsidRDefault="00D94E62">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2A6F4E" w:rsidRDefault="00D94E62">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2A6F4E" w:rsidRDefault="00D94E62">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2A6F4E" w:rsidRDefault="00D94E62">
            <w:pPr>
              <w:keepNext/>
              <w:keepLines/>
              <w:spacing w:after="0" w:line="240" w:lineRule="auto"/>
              <w:jc w:val="center"/>
            </w:pPr>
            <w:r>
              <w:rPr>
                <w:b/>
                <w:sz w:val="18"/>
              </w:rPr>
              <w:t>Indeks (%)</w:t>
            </w:r>
          </w:p>
        </w:tc>
      </w:tr>
      <w:tr w:rsidR="002A6F4E">
        <w:trPr>
          <w:cantSplit/>
          <w:trHeight w:val="560"/>
        </w:trPr>
        <w:tc>
          <w:tcPr>
            <w:tcW w:w="700" w:type="dxa"/>
            <w:tcMar>
              <w:top w:w="0" w:type="dxa"/>
              <w:bottom w:w="0" w:type="dxa"/>
            </w:tcMar>
            <w:vAlign w:val="center"/>
          </w:tcPr>
          <w:p w:rsidR="002A6F4E" w:rsidRDefault="00D94E62">
            <w:pPr>
              <w:keepNext/>
              <w:keepLines/>
              <w:spacing w:after="0" w:line="240" w:lineRule="auto"/>
            </w:pPr>
            <w:r>
              <w:rPr>
                <w:sz w:val="18"/>
              </w:rPr>
              <w:t>614</w:t>
            </w:r>
          </w:p>
        </w:tc>
        <w:tc>
          <w:tcPr>
            <w:tcW w:w="3180" w:type="dxa"/>
            <w:tcMar>
              <w:top w:w="0" w:type="dxa"/>
              <w:bottom w:w="0" w:type="dxa"/>
            </w:tcMar>
            <w:vAlign w:val="center"/>
          </w:tcPr>
          <w:p w:rsidR="002A6F4E" w:rsidRDefault="00D94E62">
            <w:pPr>
              <w:keepNext/>
              <w:keepLines/>
              <w:spacing w:after="0" w:line="240" w:lineRule="auto"/>
            </w:pPr>
            <w:r>
              <w:rPr>
                <w:sz w:val="18"/>
              </w:rPr>
              <w:t>Porezi na robu i usluge (šifre 6141 do 61476148)</w:t>
            </w:r>
          </w:p>
        </w:tc>
        <w:tc>
          <w:tcPr>
            <w:tcW w:w="700" w:type="dxa"/>
            <w:tcMar>
              <w:top w:w="0" w:type="dxa"/>
              <w:bottom w:w="0" w:type="dxa"/>
            </w:tcMar>
            <w:vAlign w:val="center"/>
          </w:tcPr>
          <w:p w:rsidR="002A6F4E" w:rsidRDefault="00D94E62">
            <w:pPr>
              <w:keepNext/>
              <w:keepLines/>
              <w:spacing w:after="0" w:line="240" w:lineRule="auto"/>
            </w:pPr>
            <w:r>
              <w:rPr>
                <w:sz w:val="18"/>
              </w:rPr>
              <w:t>614</w:t>
            </w:r>
          </w:p>
        </w:tc>
        <w:tc>
          <w:tcPr>
            <w:tcW w:w="1860" w:type="dxa"/>
            <w:tcMar>
              <w:top w:w="0" w:type="dxa"/>
              <w:bottom w:w="0" w:type="dxa"/>
            </w:tcMar>
            <w:vAlign w:val="center"/>
          </w:tcPr>
          <w:p w:rsidR="002A6F4E" w:rsidRDefault="00D94E62">
            <w:pPr>
              <w:keepNext/>
              <w:keepLines/>
              <w:spacing w:after="0" w:line="240" w:lineRule="auto"/>
              <w:jc w:val="right"/>
            </w:pPr>
            <w:r>
              <w:rPr>
                <w:sz w:val="18"/>
              </w:rPr>
              <w:t>13.693,53</w:t>
            </w:r>
          </w:p>
        </w:tc>
        <w:tc>
          <w:tcPr>
            <w:tcW w:w="1860" w:type="dxa"/>
            <w:tcMar>
              <w:top w:w="0" w:type="dxa"/>
              <w:bottom w:w="0" w:type="dxa"/>
            </w:tcMar>
            <w:vAlign w:val="center"/>
          </w:tcPr>
          <w:p w:rsidR="002A6F4E" w:rsidRDefault="00D94E62">
            <w:pPr>
              <w:keepNext/>
              <w:keepLines/>
              <w:spacing w:after="0" w:line="240" w:lineRule="auto"/>
              <w:jc w:val="right"/>
            </w:pPr>
            <w:r>
              <w:rPr>
                <w:sz w:val="18"/>
              </w:rPr>
              <w:t>15.508,63</w:t>
            </w:r>
          </w:p>
        </w:tc>
        <w:tc>
          <w:tcPr>
            <w:tcW w:w="700" w:type="dxa"/>
            <w:tcMar>
              <w:top w:w="0" w:type="dxa"/>
              <w:bottom w:w="0" w:type="dxa"/>
            </w:tcMar>
            <w:vAlign w:val="center"/>
          </w:tcPr>
          <w:p w:rsidR="002A6F4E" w:rsidRDefault="00D94E62">
            <w:pPr>
              <w:keepNext/>
              <w:keepLines/>
              <w:spacing w:after="0" w:line="240" w:lineRule="auto"/>
              <w:jc w:val="right"/>
            </w:pPr>
            <w:r>
              <w:rPr>
                <w:sz w:val="18"/>
              </w:rPr>
              <w:t>113,3</w:t>
            </w:r>
          </w:p>
        </w:tc>
      </w:tr>
    </w:tbl>
    <w:p w:rsidR="002A6F4E" w:rsidRDefault="002A6F4E">
      <w:pPr>
        <w:spacing w:after="0"/>
      </w:pPr>
    </w:p>
    <w:p w:rsidR="002A6F4E" w:rsidRDefault="00D94E62" w:rsidP="00D347BA">
      <w:pPr>
        <w:jc w:val="both"/>
      </w:pPr>
      <w:r>
        <w:t>Šifra 614 – Porezi na robu i usluge ostvareni u iznosu od 15.508,63 eura, a obuhvaćaju porez na potrošnju alkoholnih i bezalkoholnih pića. Razrez poreza i naplatu na potrošnju alkoholnih i bezalkoholnih pića vrši Porezna uprava prema prijavljenoj potrošnji ugostitelja. </w:t>
      </w:r>
    </w:p>
    <w:p w:rsidR="002A6F4E" w:rsidRDefault="00D94E62" w:rsidP="00D347BA">
      <w:pPr>
        <w:jc w:val="both"/>
      </w:pPr>
      <w:r>
        <w:lastRenderedPageBreak/>
        <w:t>U izvještajnom razdoblju ostvareni prihod po osnovi poreza na potrošnju veći je za 13,3 % u odnosu na prethodnu godinu što znači d</w:t>
      </w:r>
      <w:r w:rsidR="00D347BA">
        <w:t>a se povećava promet ugostitelj</w:t>
      </w:r>
      <w:r>
        <w:t>s</w:t>
      </w:r>
      <w:r w:rsidR="00D347BA">
        <w:t>k</w:t>
      </w:r>
      <w:r>
        <w:t>ih objekata ali je došlo i do povećanja cijena alkoholnih i bezalkoholnih pića.</w:t>
      </w:r>
    </w:p>
    <w:p w:rsidR="002A6F4E" w:rsidRDefault="002A6F4E"/>
    <w:p w:rsidR="002A6F4E" w:rsidRDefault="00D94E62">
      <w:pPr>
        <w:keepNext/>
        <w:spacing w:line="240" w:lineRule="auto"/>
        <w:jc w:val="center"/>
      </w:pPr>
      <w:r>
        <w:rPr>
          <w:sz w:val="28"/>
        </w:rPr>
        <w:t>Bilješka 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2A6F4E">
        <w:trPr>
          <w:cantSplit/>
        </w:trPr>
        <w:tc>
          <w:tcPr>
            <w:tcW w:w="700" w:type="dxa"/>
            <w:shd w:val="clear" w:color="auto" w:fill="E7F0F9"/>
            <w:tcMar>
              <w:top w:w="0" w:type="dxa"/>
              <w:bottom w:w="0" w:type="dxa"/>
            </w:tcMar>
            <w:vAlign w:val="center"/>
          </w:tcPr>
          <w:p w:rsidR="002A6F4E" w:rsidRDefault="00D94E62">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2A6F4E" w:rsidRDefault="00D94E62">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2A6F4E" w:rsidRDefault="00D94E62">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2A6F4E" w:rsidRDefault="00D94E62">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2A6F4E" w:rsidRDefault="00D94E62">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2A6F4E" w:rsidRDefault="00D94E62">
            <w:pPr>
              <w:keepNext/>
              <w:keepLines/>
              <w:spacing w:after="0" w:line="240" w:lineRule="auto"/>
              <w:jc w:val="center"/>
            </w:pPr>
            <w:r>
              <w:rPr>
                <w:b/>
                <w:sz w:val="18"/>
              </w:rPr>
              <w:t>Indeks (%)</w:t>
            </w:r>
          </w:p>
        </w:tc>
      </w:tr>
      <w:tr w:rsidR="002A6F4E">
        <w:trPr>
          <w:cantSplit/>
          <w:trHeight w:val="560"/>
        </w:trPr>
        <w:tc>
          <w:tcPr>
            <w:tcW w:w="700" w:type="dxa"/>
            <w:tcMar>
              <w:top w:w="0" w:type="dxa"/>
              <w:bottom w:w="0" w:type="dxa"/>
            </w:tcMar>
            <w:vAlign w:val="center"/>
          </w:tcPr>
          <w:p w:rsidR="002A6F4E" w:rsidRDefault="00D94E62">
            <w:pPr>
              <w:keepNext/>
              <w:keepLines/>
              <w:spacing w:after="0" w:line="240" w:lineRule="auto"/>
            </w:pPr>
            <w:r>
              <w:rPr>
                <w:sz w:val="18"/>
              </w:rPr>
              <w:t>633</w:t>
            </w:r>
          </w:p>
        </w:tc>
        <w:tc>
          <w:tcPr>
            <w:tcW w:w="3180" w:type="dxa"/>
            <w:tcMar>
              <w:top w:w="0" w:type="dxa"/>
              <w:bottom w:w="0" w:type="dxa"/>
            </w:tcMar>
            <w:vAlign w:val="center"/>
          </w:tcPr>
          <w:p w:rsidR="002A6F4E" w:rsidRDefault="00D94E62">
            <w:pPr>
              <w:keepNext/>
              <w:keepLines/>
              <w:spacing w:after="0" w:line="240" w:lineRule="auto"/>
            </w:pPr>
            <w:r>
              <w:rPr>
                <w:sz w:val="18"/>
              </w:rPr>
              <w:t>Pomoći proračunu i izvanproračunskim korisnicima iz drugih proračuna (šifre 6331+6332)</w:t>
            </w:r>
          </w:p>
        </w:tc>
        <w:tc>
          <w:tcPr>
            <w:tcW w:w="700" w:type="dxa"/>
            <w:tcMar>
              <w:top w:w="0" w:type="dxa"/>
              <w:bottom w:w="0" w:type="dxa"/>
            </w:tcMar>
            <w:vAlign w:val="center"/>
          </w:tcPr>
          <w:p w:rsidR="002A6F4E" w:rsidRDefault="00D94E62">
            <w:pPr>
              <w:keepNext/>
              <w:keepLines/>
              <w:spacing w:after="0" w:line="240" w:lineRule="auto"/>
            </w:pPr>
            <w:r>
              <w:rPr>
                <w:sz w:val="18"/>
              </w:rPr>
              <w:t>633</w:t>
            </w:r>
          </w:p>
        </w:tc>
        <w:tc>
          <w:tcPr>
            <w:tcW w:w="1860" w:type="dxa"/>
            <w:tcMar>
              <w:top w:w="0" w:type="dxa"/>
              <w:bottom w:w="0" w:type="dxa"/>
            </w:tcMar>
            <w:vAlign w:val="center"/>
          </w:tcPr>
          <w:p w:rsidR="002A6F4E" w:rsidRDefault="00D94E62">
            <w:pPr>
              <w:keepNext/>
              <w:keepLines/>
              <w:spacing w:after="0" w:line="240" w:lineRule="auto"/>
              <w:jc w:val="right"/>
            </w:pPr>
            <w:r>
              <w:rPr>
                <w:sz w:val="18"/>
              </w:rPr>
              <w:t>574.192,01</w:t>
            </w:r>
          </w:p>
        </w:tc>
        <w:tc>
          <w:tcPr>
            <w:tcW w:w="1860" w:type="dxa"/>
            <w:tcMar>
              <w:top w:w="0" w:type="dxa"/>
              <w:bottom w:w="0" w:type="dxa"/>
            </w:tcMar>
            <w:vAlign w:val="center"/>
          </w:tcPr>
          <w:p w:rsidR="002A6F4E" w:rsidRDefault="00D94E62">
            <w:pPr>
              <w:keepNext/>
              <w:keepLines/>
              <w:spacing w:after="0" w:line="240" w:lineRule="auto"/>
              <w:jc w:val="right"/>
            </w:pPr>
            <w:r>
              <w:rPr>
                <w:sz w:val="18"/>
              </w:rPr>
              <w:t>674.155,03</w:t>
            </w:r>
          </w:p>
        </w:tc>
        <w:tc>
          <w:tcPr>
            <w:tcW w:w="700" w:type="dxa"/>
            <w:tcMar>
              <w:top w:w="0" w:type="dxa"/>
              <w:bottom w:w="0" w:type="dxa"/>
            </w:tcMar>
            <w:vAlign w:val="center"/>
          </w:tcPr>
          <w:p w:rsidR="002A6F4E" w:rsidRDefault="00D94E62">
            <w:pPr>
              <w:keepNext/>
              <w:keepLines/>
              <w:spacing w:after="0" w:line="240" w:lineRule="auto"/>
              <w:jc w:val="right"/>
            </w:pPr>
            <w:r>
              <w:rPr>
                <w:sz w:val="18"/>
              </w:rPr>
              <w:t>117,4</w:t>
            </w:r>
          </w:p>
        </w:tc>
      </w:tr>
    </w:tbl>
    <w:p w:rsidR="002A6F4E" w:rsidRDefault="002A6F4E">
      <w:pPr>
        <w:spacing w:after="0"/>
      </w:pPr>
    </w:p>
    <w:p w:rsidR="002A6F4E" w:rsidRDefault="00D94E62" w:rsidP="00D347BA">
      <w:pPr>
        <w:jc w:val="both"/>
      </w:pPr>
      <w:r>
        <w:t>Šifra 633 – Pomoći proračunu i izvanproračunskim korisnicima iz drugih proračuna ostvarene su u iznosu od 674.155,03 eura, odnosno 17,4 % više nego u istom razdoblju prethodne godine iste pomoći odnose se na: </w:t>
      </w:r>
    </w:p>
    <w:p w:rsidR="002A6F4E" w:rsidRDefault="00D94E62" w:rsidP="00D347BA">
      <w:pPr>
        <w:jc w:val="both"/>
      </w:pPr>
      <w:r>
        <w:t>- tekuće pomoći iz državnog proračuna obuhvaćaju sredstva za fiskalno izravnanje JLS i fiskalnu održivost vrtića koje se isplaćuju mjesečno u iznosu od 43.104,00 eura,</w:t>
      </w:r>
    </w:p>
    <w:p w:rsidR="002A6F4E" w:rsidRDefault="00D94E62" w:rsidP="00D347BA">
      <w:pPr>
        <w:jc w:val="both"/>
      </w:pPr>
      <w:r>
        <w:t xml:space="preserve">- tekuće </w:t>
      </w:r>
      <w:proofErr w:type="spellStart"/>
      <w:r>
        <w:t>pooći</w:t>
      </w:r>
      <w:proofErr w:type="spellEnd"/>
      <w:r>
        <w:t xml:space="preserve"> iz Županijskog proračuna – sufinanciranje logopedijske terapije i rehabilitaciju 3.600,00 eura, linijski prijevoz za 2025. godinu 22.000,00 eura, održavanje nerazvrstanih cesta – </w:t>
      </w:r>
      <w:proofErr w:type="spellStart"/>
      <w:r>
        <w:t>sanacuja</w:t>
      </w:r>
      <w:proofErr w:type="spellEnd"/>
      <w:r>
        <w:t xml:space="preserve"> udarnih </w:t>
      </w:r>
      <w:proofErr w:type="spellStart"/>
      <w:r>
        <w:t>eupa</w:t>
      </w:r>
      <w:proofErr w:type="spellEnd"/>
      <w:r>
        <w:t xml:space="preserve"> 8.000,00 eura, sufinanciranje manifestacije 32. Ljeto u </w:t>
      </w:r>
      <w:proofErr w:type="spellStart"/>
      <w:r>
        <w:t>Fužinama</w:t>
      </w:r>
      <w:proofErr w:type="spellEnd"/>
      <w:r>
        <w:t xml:space="preserve"> 5.000,00 i sufinanciranje manifestacije Ispraćaj Stare godine u podne 5.000,00 eura.</w:t>
      </w:r>
    </w:p>
    <w:p w:rsidR="002A6F4E" w:rsidRDefault="00D94E62" w:rsidP="00D347BA">
      <w:pPr>
        <w:jc w:val="both"/>
      </w:pPr>
      <w:r>
        <w:t xml:space="preserve">- kapitalne pomoći iz državnog proračuna obuhvaćaju sredstva Ministarstva regionalnog razvoja i fondova Evropske unije za Projekt Edukativna staza </w:t>
      </w:r>
      <w:proofErr w:type="spellStart"/>
      <w:r>
        <w:t>Lepenica</w:t>
      </w:r>
      <w:proofErr w:type="spellEnd"/>
      <w:r>
        <w:t xml:space="preserve"> II faza – 291.579,88 eura, Ministarstvo prostornog uređenja , graditeljstva i Državne imovine za projekt proširenja groblja </w:t>
      </w:r>
      <w:proofErr w:type="spellStart"/>
      <w:r>
        <w:t>Lič</w:t>
      </w:r>
      <w:proofErr w:type="spellEnd"/>
      <w:r>
        <w:t xml:space="preserve"> – 2.700,00 eura i 8.160,00 eura za projekt energetske obnove Društvenog doma u </w:t>
      </w:r>
      <w:proofErr w:type="spellStart"/>
      <w:r>
        <w:t>Fužinama</w:t>
      </w:r>
      <w:proofErr w:type="spellEnd"/>
      <w:r>
        <w:t xml:space="preserve">, Ministarstvo demografije i useljeništva za uređenje dječjeg igrališta na lokaciji </w:t>
      </w:r>
      <w:proofErr w:type="spellStart"/>
      <w:r>
        <w:t>Plase</w:t>
      </w:r>
      <w:proofErr w:type="spellEnd"/>
      <w:r>
        <w:t xml:space="preserve"> Vrata – 23.285,52 eura i sredstva za sufinanciranje programa razvoja vodoopskrbe i SJO na području Općine </w:t>
      </w:r>
      <w:proofErr w:type="spellStart"/>
      <w:r>
        <w:t>Fužine</w:t>
      </w:r>
      <w:proofErr w:type="spellEnd"/>
      <w:r>
        <w:t>, a u svezi Švicarsko-Hrvatskog programa suradnje u iznosu od 159.647,98 eura. </w:t>
      </w:r>
    </w:p>
    <w:p w:rsidR="002A6F4E" w:rsidRDefault="00D94E62" w:rsidP="00D347BA">
      <w:pPr>
        <w:jc w:val="both"/>
      </w:pPr>
      <w:r>
        <w:t xml:space="preserve">- kapitalne pomoći iz Županijskog proračuna za uređenje i opremanje šetalište Kreše Golika – 8000,00 eura, sufinanciranje projekta uređenja dvorane Društvenog doma u </w:t>
      </w:r>
      <w:proofErr w:type="spellStart"/>
      <w:r>
        <w:t>Fužinama</w:t>
      </w:r>
      <w:proofErr w:type="spellEnd"/>
      <w:r>
        <w:t xml:space="preserve"> – 10.000.00 eura i sufinanciranje projekta Tematsko edukativne staze </w:t>
      </w:r>
      <w:proofErr w:type="spellStart"/>
      <w:r>
        <w:t>Lepenica</w:t>
      </w:r>
      <w:proofErr w:type="spellEnd"/>
      <w:r>
        <w:t xml:space="preserve"> II faza – 84.437,65 eura.</w:t>
      </w:r>
    </w:p>
    <w:p w:rsidR="002A6F4E" w:rsidRDefault="002A6F4E"/>
    <w:p w:rsidR="002A6F4E" w:rsidRDefault="00D94E62">
      <w:pPr>
        <w:keepNext/>
        <w:spacing w:line="240" w:lineRule="auto"/>
        <w:jc w:val="center"/>
      </w:pPr>
      <w:r>
        <w:rPr>
          <w:sz w:val="28"/>
        </w:rPr>
        <w:t>Bilješka 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2A6F4E">
        <w:trPr>
          <w:cantSplit/>
        </w:trPr>
        <w:tc>
          <w:tcPr>
            <w:tcW w:w="700" w:type="dxa"/>
            <w:shd w:val="clear" w:color="auto" w:fill="E7F0F9"/>
            <w:tcMar>
              <w:top w:w="0" w:type="dxa"/>
              <w:bottom w:w="0" w:type="dxa"/>
            </w:tcMar>
            <w:vAlign w:val="center"/>
          </w:tcPr>
          <w:p w:rsidR="002A6F4E" w:rsidRDefault="00D94E62">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2A6F4E" w:rsidRDefault="00D94E62">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2A6F4E" w:rsidRDefault="00D94E62">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2A6F4E" w:rsidRDefault="00D94E62">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2A6F4E" w:rsidRDefault="00D94E62">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2A6F4E" w:rsidRDefault="00D94E62">
            <w:pPr>
              <w:keepNext/>
              <w:keepLines/>
              <w:spacing w:after="0" w:line="240" w:lineRule="auto"/>
              <w:jc w:val="center"/>
            </w:pPr>
            <w:r>
              <w:rPr>
                <w:b/>
                <w:sz w:val="18"/>
              </w:rPr>
              <w:t>Indeks (%)</w:t>
            </w:r>
          </w:p>
        </w:tc>
      </w:tr>
      <w:tr w:rsidR="002A6F4E">
        <w:trPr>
          <w:cantSplit/>
          <w:trHeight w:val="560"/>
        </w:trPr>
        <w:tc>
          <w:tcPr>
            <w:tcW w:w="700" w:type="dxa"/>
            <w:tcMar>
              <w:top w:w="0" w:type="dxa"/>
              <w:bottom w:w="0" w:type="dxa"/>
            </w:tcMar>
            <w:vAlign w:val="center"/>
          </w:tcPr>
          <w:p w:rsidR="002A6F4E" w:rsidRDefault="00D94E62">
            <w:pPr>
              <w:keepNext/>
              <w:keepLines/>
              <w:spacing w:after="0" w:line="240" w:lineRule="auto"/>
            </w:pPr>
            <w:r>
              <w:rPr>
                <w:sz w:val="18"/>
              </w:rPr>
              <w:t>634</w:t>
            </w:r>
          </w:p>
        </w:tc>
        <w:tc>
          <w:tcPr>
            <w:tcW w:w="3180" w:type="dxa"/>
            <w:tcMar>
              <w:top w:w="0" w:type="dxa"/>
              <w:bottom w:w="0" w:type="dxa"/>
            </w:tcMar>
            <w:vAlign w:val="center"/>
          </w:tcPr>
          <w:p w:rsidR="002A6F4E" w:rsidRDefault="00D94E62">
            <w:pPr>
              <w:keepNext/>
              <w:keepLines/>
              <w:spacing w:after="0" w:line="240" w:lineRule="auto"/>
            </w:pPr>
            <w:r>
              <w:rPr>
                <w:sz w:val="18"/>
              </w:rPr>
              <w:t>Pomoći od izvanproračunskih korisnika (šifre 6341+6342)</w:t>
            </w:r>
          </w:p>
        </w:tc>
        <w:tc>
          <w:tcPr>
            <w:tcW w:w="700" w:type="dxa"/>
            <w:tcMar>
              <w:top w:w="0" w:type="dxa"/>
              <w:bottom w:w="0" w:type="dxa"/>
            </w:tcMar>
            <w:vAlign w:val="center"/>
          </w:tcPr>
          <w:p w:rsidR="002A6F4E" w:rsidRDefault="00D94E62">
            <w:pPr>
              <w:keepNext/>
              <w:keepLines/>
              <w:spacing w:after="0" w:line="240" w:lineRule="auto"/>
            </w:pPr>
            <w:r>
              <w:rPr>
                <w:sz w:val="18"/>
              </w:rPr>
              <w:t>634</w:t>
            </w:r>
          </w:p>
        </w:tc>
        <w:tc>
          <w:tcPr>
            <w:tcW w:w="1860" w:type="dxa"/>
            <w:tcMar>
              <w:top w:w="0" w:type="dxa"/>
              <w:bottom w:w="0" w:type="dxa"/>
            </w:tcMar>
            <w:vAlign w:val="center"/>
          </w:tcPr>
          <w:p w:rsidR="002A6F4E" w:rsidRDefault="00D94E62">
            <w:pPr>
              <w:keepNext/>
              <w:keepLines/>
              <w:spacing w:after="0" w:line="240" w:lineRule="auto"/>
              <w:jc w:val="right"/>
            </w:pPr>
            <w:r>
              <w:rPr>
                <w:sz w:val="18"/>
              </w:rPr>
              <w:t>17.477,51</w:t>
            </w:r>
          </w:p>
        </w:tc>
        <w:tc>
          <w:tcPr>
            <w:tcW w:w="1860" w:type="dxa"/>
            <w:tcMar>
              <w:top w:w="0" w:type="dxa"/>
              <w:bottom w:w="0" w:type="dxa"/>
            </w:tcMar>
            <w:vAlign w:val="center"/>
          </w:tcPr>
          <w:p w:rsidR="002A6F4E" w:rsidRDefault="00D94E62">
            <w:pPr>
              <w:keepNext/>
              <w:keepLines/>
              <w:spacing w:after="0" w:line="240" w:lineRule="auto"/>
              <w:jc w:val="right"/>
            </w:pPr>
            <w:r>
              <w:rPr>
                <w:sz w:val="18"/>
              </w:rPr>
              <w:t>62.861,88</w:t>
            </w:r>
          </w:p>
        </w:tc>
        <w:tc>
          <w:tcPr>
            <w:tcW w:w="700" w:type="dxa"/>
            <w:tcMar>
              <w:top w:w="0" w:type="dxa"/>
              <w:bottom w:w="0" w:type="dxa"/>
            </w:tcMar>
            <w:vAlign w:val="center"/>
          </w:tcPr>
          <w:p w:rsidR="002A6F4E" w:rsidRDefault="00D94E62">
            <w:pPr>
              <w:keepNext/>
              <w:keepLines/>
              <w:spacing w:after="0" w:line="240" w:lineRule="auto"/>
              <w:jc w:val="right"/>
            </w:pPr>
            <w:r>
              <w:rPr>
                <w:sz w:val="18"/>
              </w:rPr>
              <w:t>359,7</w:t>
            </w:r>
          </w:p>
        </w:tc>
      </w:tr>
    </w:tbl>
    <w:p w:rsidR="002A6F4E" w:rsidRDefault="002A6F4E">
      <w:pPr>
        <w:spacing w:after="0"/>
      </w:pPr>
    </w:p>
    <w:p w:rsidR="002A6F4E" w:rsidRDefault="00D94E62" w:rsidP="00D347BA">
      <w:pPr>
        <w:jc w:val="both"/>
      </w:pPr>
      <w:r>
        <w:lastRenderedPageBreak/>
        <w:t>Šifra 634 – Pomoći od izvanproračunskih korisnika ostvarene su u iznosu od 62.861,88 eura, a odnose se na pomoć za pokriće troškova zimske službe koje plaćaju Hrvatske ceste d.o.o. u iznosu od 22.569,63 eura.</w:t>
      </w:r>
    </w:p>
    <w:p w:rsidR="002A6F4E" w:rsidRDefault="00D94E62" w:rsidP="00D347BA">
      <w:pPr>
        <w:jc w:val="both"/>
      </w:pPr>
      <w:r>
        <w:t xml:space="preserve">Ova vrsta prihoda bilježi povećanje za 259,7 % u odnosu na 2024. godinu, a ovisi o procjeni Hrvatskih cesta o troškovima zimske službe na području Općine </w:t>
      </w:r>
      <w:proofErr w:type="spellStart"/>
      <w:r>
        <w:t>Fužine</w:t>
      </w:r>
      <w:proofErr w:type="spellEnd"/>
      <w:r>
        <w:t xml:space="preserve">, i kapitalna pomoć od Fonda za zaštitu okoliša i energetsku učinkovitost za sufinanciranje uklanjanja otpada odbačenog u okoliš čiji projekt je započeo u 2024. godini u iznosu od 37.637,25 eura i provedba programa Razvoj i promocija autohtonih proizvoda – </w:t>
      </w:r>
      <w:proofErr w:type="spellStart"/>
      <w:r>
        <w:t>Medun</w:t>
      </w:r>
      <w:proofErr w:type="spellEnd"/>
      <w:r>
        <w:t xml:space="preserve"> fest 2025. u iznosu od 2.655,00 eura.</w:t>
      </w:r>
    </w:p>
    <w:p w:rsidR="002A6F4E" w:rsidRDefault="002A6F4E"/>
    <w:p w:rsidR="002A6F4E" w:rsidRDefault="00D94E62">
      <w:pPr>
        <w:keepNext/>
        <w:spacing w:line="240" w:lineRule="auto"/>
        <w:jc w:val="center"/>
      </w:pPr>
      <w:r>
        <w:rPr>
          <w:sz w:val="28"/>
        </w:rPr>
        <w:t>Bilješka 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2A6F4E">
        <w:trPr>
          <w:cantSplit/>
        </w:trPr>
        <w:tc>
          <w:tcPr>
            <w:tcW w:w="700" w:type="dxa"/>
            <w:shd w:val="clear" w:color="auto" w:fill="E7F0F9"/>
            <w:tcMar>
              <w:top w:w="0" w:type="dxa"/>
              <w:bottom w:w="0" w:type="dxa"/>
            </w:tcMar>
            <w:vAlign w:val="center"/>
          </w:tcPr>
          <w:p w:rsidR="002A6F4E" w:rsidRDefault="00D94E62">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2A6F4E" w:rsidRDefault="00D94E62">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2A6F4E" w:rsidRDefault="00D94E62">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2A6F4E" w:rsidRDefault="00D94E62">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2A6F4E" w:rsidRDefault="00D94E62">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2A6F4E" w:rsidRDefault="00D94E62">
            <w:pPr>
              <w:keepNext/>
              <w:keepLines/>
              <w:spacing w:after="0" w:line="240" w:lineRule="auto"/>
              <w:jc w:val="center"/>
            </w:pPr>
            <w:r>
              <w:rPr>
                <w:b/>
                <w:sz w:val="18"/>
              </w:rPr>
              <w:t>Indeks (%)</w:t>
            </w:r>
          </w:p>
        </w:tc>
      </w:tr>
      <w:tr w:rsidR="002A6F4E">
        <w:trPr>
          <w:cantSplit/>
          <w:trHeight w:val="560"/>
        </w:trPr>
        <w:tc>
          <w:tcPr>
            <w:tcW w:w="700" w:type="dxa"/>
            <w:tcMar>
              <w:top w:w="0" w:type="dxa"/>
              <w:bottom w:w="0" w:type="dxa"/>
            </w:tcMar>
            <w:vAlign w:val="center"/>
          </w:tcPr>
          <w:p w:rsidR="002A6F4E" w:rsidRDefault="00D94E62">
            <w:pPr>
              <w:keepNext/>
              <w:keepLines/>
              <w:spacing w:after="0" w:line="240" w:lineRule="auto"/>
            </w:pPr>
            <w:r>
              <w:rPr>
                <w:sz w:val="18"/>
              </w:rPr>
              <w:t>638</w:t>
            </w:r>
          </w:p>
        </w:tc>
        <w:tc>
          <w:tcPr>
            <w:tcW w:w="3180" w:type="dxa"/>
            <w:tcMar>
              <w:top w:w="0" w:type="dxa"/>
              <w:bottom w:w="0" w:type="dxa"/>
            </w:tcMar>
            <w:vAlign w:val="center"/>
          </w:tcPr>
          <w:p w:rsidR="002A6F4E" w:rsidRDefault="00D94E62">
            <w:pPr>
              <w:keepNext/>
              <w:keepLines/>
              <w:spacing w:after="0" w:line="240" w:lineRule="auto"/>
            </w:pPr>
            <w:r>
              <w:rPr>
                <w:sz w:val="18"/>
              </w:rPr>
              <w:t>Pomoći temeljem prijenosa EU sredstava (šifre 6381+6382)</w:t>
            </w:r>
          </w:p>
        </w:tc>
        <w:tc>
          <w:tcPr>
            <w:tcW w:w="700" w:type="dxa"/>
            <w:tcMar>
              <w:top w:w="0" w:type="dxa"/>
              <w:bottom w:w="0" w:type="dxa"/>
            </w:tcMar>
            <w:vAlign w:val="center"/>
          </w:tcPr>
          <w:p w:rsidR="002A6F4E" w:rsidRDefault="00D94E62">
            <w:pPr>
              <w:keepNext/>
              <w:keepLines/>
              <w:spacing w:after="0" w:line="240" w:lineRule="auto"/>
            </w:pPr>
            <w:r>
              <w:rPr>
                <w:sz w:val="18"/>
              </w:rPr>
              <w:t>638</w:t>
            </w:r>
          </w:p>
        </w:tc>
        <w:tc>
          <w:tcPr>
            <w:tcW w:w="1860" w:type="dxa"/>
            <w:tcMar>
              <w:top w:w="0" w:type="dxa"/>
              <w:bottom w:w="0" w:type="dxa"/>
            </w:tcMar>
            <w:vAlign w:val="center"/>
          </w:tcPr>
          <w:p w:rsidR="002A6F4E" w:rsidRDefault="00D94E62">
            <w:pPr>
              <w:keepNext/>
              <w:keepLines/>
              <w:spacing w:after="0" w:line="240" w:lineRule="auto"/>
              <w:jc w:val="right"/>
            </w:pPr>
            <w:r>
              <w:rPr>
                <w:sz w:val="18"/>
              </w:rPr>
              <w:t>110.187,49</w:t>
            </w:r>
          </w:p>
        </w:tc>
        <w:tc>
          <w:tcPr>
            <w:tcW w:w="1860" w:type="dxa"/>
            <w:tcMar>
              <w:top w:w="0" w:type="dxa"/>
              <w:bottom w:w="0" w:type="dxa"/>
            </w:tcMar>
            <w:vAlign w:val="center"/>
          </w:tcPr>
          <w:p w:rsidR="002A6F4E" w:rsidRDefault="00D94E62">
            <w:pPr>
              <w:keepNext/>
              <w:keepLines/>
              <w:spacing w:after="0" w:line="240" w:lineRule="auto"/>
              <w:jc w:val="right"/>
            </w:pPr>
            <w:r>
              <w:rPr>
                <w:sz w:val="18"/>
              </w:rPr>
              <w:t>155.200,39</w:t>
            </w:r>
          </w:p>
        </w:tc>
        <w:tc>
          <w:tcPr>
            <w:tcW w:w="700" w:type="dxa"/>
            <w:tcMar>
              <w:top w:w="0" w:type="dxa"/>
              <w:bottom w:w="0" w:type="dxa"/>
            </w:tcMar>
            <w:vAlign w:val="center"/>
          </w:tcPr>
          <w:p w:rsidR="002A6F4E" w:rsidRDefault="00D94E62">
            <w:pPr>
              <w:keepNext/>
              <w:keepLines/>
              <w:spacing w:after="0" w:line="240" w:lineRule="auto"/>
              <w:jc w:val="right"/>
            </w:pPr>
            <w:r>
              <w:rPr>
                <w:sz w:val="18"/>
              </w:rPr>
              <w:t>140,9</w:t>
            </w:r>
          </w:p>
        </w:tc>
      </w:tr>
    </w:tbl>
    <w:p w:rsidR="002A6F4E" w:rsidRDefault="002A6F4E">
      <w:pPr>
        <w:spacing w:after="0"/>
      </w:pPr>
    </w:p>
    <w:p w:rsidR="002A6F4E" w:rsidRDefault="00D94E62" w:rsidP="00D347BA">
      <w:pPr>
        <w:jc w:val="both"/>
      </w:pPr>
      <w:r>
        <w:t>Pomoći temeljem prijenosa EU sredstava ostvarene su u 2025. godini u iznosu od 155.200,39 eura ili 40.9 % više u odnosu na prethodnu godinu, a obuhvaćaju tekuće pomoći za program ZAŽELI – IV. faza u iznosu od 107.700,39 eura (šifra 6381), te kapitalne pomoći za uređenje Parka Za Goricom u iznosu od 47.500,00 eura čija realizacija uređenja je izvršena u 2024. godini kao i prijava na projekt.</w:t>
      </w:r>
    </w:p>
    <w:p w:rsidR="002A6F4E" w:rsidRDefault="002A6F4E"/>
    <w:p w:rsidR="002A6F4E" w:rsidRDefault="00D94E62">
      <w:pPr>
        <w:keepNext/>
        <w:spacing w:line="240" w:lineRule="auto"/>
        <w:jc w:val="center"/>
      </w:pPr>
      <w:r>
        <w:rPr>
          <w:sz w:val="28"/>
        </w:rPr>
        <w:t>Bilješka 10.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2A6F4E">
        <w:trPr>
          <w:cantSplit/>
        </w:trPr>
        <w:tc>
          <w:tcPr>
            <w:tcW w:w="700" w:type="dxa"/>
            <w:shd w:val="clear" w:color="auto" w:fill="E7F0F9"/>
            <w:tcMar>
              <w:top w:w="0" w:type="dxa"/>
              <w:bottom w:w="0" w:type="dxa"/>
            </w:tcMar>
            <w:vAlign w:val="center"/>
          </w:tcPr>
          <w:p w:rsidR="002A6F4E" w:rsidRDefault="00D94E62">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2A6F4E" w:rsidRDefault="00D94E62">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2A6F4E" w:rsidRDefault="00D94E62">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2A6F4E" w:rsidRDefault="00D94E62">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2A6F4E" w:rsidRDefault="00D94E62">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2A6F4E" w:rsidRDefault="00D94E62">
            <w:pPr>
              <w:keepNext/>
              <w:keepLines/>
              <w:spacing w:after="0" w:line="240" w:lineRule="auto"/>
              <w:jc w:val="center"/>
            </w:pPr>
            <w:r>
              <w:rPr>
                <w:b/>
                <w:sz w:val="18"/>
              </w:rPr>
              <w:t>Indeks (%)</w:t>
            </w:r>
          </w:p>
        </w:tc>
      </w:tr>
      <w:tr w:rsidR="002A6F4E">
        <w:trPr>
          <w:cantSplit/>
          <w:trHeight w:val="560"/>
        </w:trPr>
        <w:tc>
          <w:tcPr>
            <w:tcW w:w="700" w:type="dxa"/>
            <w:tcMar>
              <w:top w:w="0" w:type="dxa"/>
              <w:bottom w:w="0" w:type="dxa"/>
            </w:tcMar>
            <w:vAlign w:val="center"/>
          </w:tcPr>
          <w:p w:rsidR="002A6F4E" w:rsidRDefault="00D94E62">
            <w:pPr>
              <w:keepNext/>
              <w:keepLines/>
              <w:spacing w:after="0" w:line="240" w:lineRule="auto"/>
            </w:pPr>
            <w:r>
              <w:rPr>
                <w:sz w:val="18"/>
              </w:rPr>
              <w:t>641</w:t>
            </w:r>
          </w:p>
        </w:tc>
        <w:tc>
          <w:tcPr>
            <w:tcW w:w="3180" w:type="dxa"/>
            <w:tcMar>
              <w:top w:w="0" w:type="dxa"/>
              <w:bottom w:w="0" w:type="dxa"/>
            </w:tcMar>
            <w:vAlign w:val="center"/>
          </w:tcPr>
          <w:p w:rsidR="002A6F4E" w:rsidRDefault="00D94E62">
            <w:pPr>
              <w:keepNext/>
              <w:keepLines/>
              <w:spacing w:after="0" w:line="240" w:lineRule="auto"/>
            </w:pPr>
            <w:r>
              <w:rPr>
                <w:sz w:val="18"/>
              </w:rPr>
              <w:t>Prihodi od financijske imovine (šifre 6412 do 6419)</w:t>
            </w:r>
          </w:p>
        </w:tc>
        <w:tc>
          <w:tcPr>
            <w:tcW w:w="700" w:type="dxa"/>
            <w:tcMar>
              <w:top w:w="0" w:type="dxa"/>
              <w:bottom w:w="0" w:type="dxa"/>
            </w:tcMar>
            <w:vAlign w:val="center"/>
          </w:tcPr>
          <w:p w:rsidR="002A6F4E" w:rsidRDefault="00D94E62">
            <w:pPr>
              <w:keepNext/>
              <w:keepLines/>
              <w:spacing w:after="0" w:line="240" w:lineRule="auto"/>
            </w:pPr>
            <w:r>
              <w:rPr>
                <w:sz w:val="18"/>
              </w:rPr>
              <w:t>641</w:t>
            </w:r>
          </w:p>
        </w:tc>
        <w:tc>
          <w:tcPr>
            <w:tcW w:w="1860" w:type="dxa"/>
            <w:tcMar>
              <w:top w:w="0" w:type="dxa"/>
              <w:bottom w:w="0" w:type="dxa"/>
            </w:tcMar>
            <w:vAlign w:val="center"/>
          </w:tcPr>
          <w:p w:rsidR="002A6F4E" w:rsidRDefault="00D94E62">
            <w:pPr>
              <w:keepNext/>
              <w:keepLines/>
              <w:spacing w:after="0" w:line="240" w:lineRule="auto"/>
              <w:jc w:val="right"/>
            </w:pPr>
            <w:r>
              <w:rPr>
                <w:sz w:val="18"/>
              </w:rPr>
              <w:t>298,28</w:t>
            </w:r>
          </w:p>
        </w:tc>
        <w:tc>
          <w:tcPr>
            <w:tcW w:w="1860" w:type="dxa"/>
            <w:tcMar>
              <w:top w:w="0" w:type="dxa"/>
              <w:bottom w:w="0" w:type="dxa"/>
            </w:tcMar>
            <w:vAlign w:val="center"/>
          </w:tcPr>
          <w:p w:rsidR="002A6F4E" w:rsidRDefault="00D94E62">
            <w:pPr>
              <w:keepNext/>
              <w:keepLines/>
              <w:spacing w:after="0" w:line="240" w:lineRule="auto"/>
              <w:jc w:val="right"/>
            </w:pPr>
            <w:r>
              <w:rPr>
                <w:sz w:val="18"/>
              </w:rPr>
              <w:t>437,45</w:t>
            </w:r>
          </w:p>
        </w:tc>
        <w:tc>
          <w:tcPr>
            <w:tcW w:w="700" w:type="dxa"/>
            <w:tcMar>
              <w:top w:w="0" w:type="dxa"/>
              <w:bottom w:w="0" w:type="dxa"/>
            </w:tcMar>
            <w:vAlign w:val="center"/>
          </w:tcPr>
          <w:p w:rsidR="002A6F4E" w:rsidRDefault="00D94E62">
            <w:pPr>
              <w:keepNext/>
              <w:keepLines/>
              <w:spacing w:after="0" w:line="240" w:lineRule="auto"/>
              <w:jc w:val="right"/>
            </w:pPr>
            <w:r>
              <w:rPr>
                <w:sz w:val="18"/>
              </w:rPr>
              <w:t>146,7</w:t>
            </w:r>
          </w:p>
        </w:tc>
      </w:tr>
    </w:tbl>
    <w:p w:rsidR="002A6F4E" w:rsidRDefault="002A6F4E">
      <w:pPr>
        <w:spacing w:after="0"/>
      </w:pPr>
    </w:p>
    <w:p w:rsidR="002A6F4E" w:rsidRDefault="00D94E62" w:rsidP="00D347BA">
      <w:pPr>
        <w:jc w:val="both"/>
      </w:pPr>
      <w:r>
        <w:t>Šifra 641 – Prihodi od financijske imovine ostvareni su u iznosu od 437,45 eura, a odnose se na zatezne kamate što je za 46,7 % više nego u istom razdoblju 2024. godine. Veća sredstva su ostvarena po dostavljenim i obračunatim opomenama dužnicima s osnove komunalne naknade, komunalnog doprinosa, zakupa poslovnog prostora i naknade za korištenje javnih površina.</w:t>
      </w:r>
    </w:p>
    <w:p w:rsidR="002A6F4E" w:rsidRDefault="002A6F4E"/>
    <w:p w:rsidR="002A6F4E" w:rsidRDefault="00D94E62">
      <w:pPr>
        <w:keepNext/>
        <w:spacing w:line="240" w:lineRule="auto"/>
        <w:jc w:val="center"/>
      </w:pPr>
      <w:r>
        <w:rPr>
          <w:sz w:val="28"/>
        </w:rPr>
        <w:t>Bilješka 11.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2A6F4E">
        <w:trPr>
          <w:cantSplit/>
        </w:trPr>
        <w:tc>
          <w:tcPr>
            <w:tcW w:w="700" w:type="dxa"/>
            <w:shd w:val="clear" w:color="auto" w:fill="E7F0F9"/>
            <w:tcMar>
              <w:top w:w="0" w:type="dxa"/>
              <w:bottom w:w="0" w:type="dxa"/>
            </w:tcMar>
            <w:vAlign w:val="center"/>
          </w:tcPr>
          <w:p w:rsidR="002A6F4E" w:rsidRDefault="00D94E62">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2A6F4E" w:rsidRDefault="00D94E62">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2A6F4E" w:rsidRDefault="00D94E62">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2A6F4E" w:rsidRDefault="00D94E62">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2A6F4E" w:rsidRDefault="00D94E62">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2A6F4E" w:rsidRDefault="00D94E62">
            <w:pPr>
              <w:keepNext/>
              <w:keepLines/>
              <w:spacing w:after="0" w:line="240" w:lineRule="auto"/>
              <w:jc w:val="center"/>
            </w:pPr>
            <w:r>
              <w:rPr>
                <w:b/>
                <w:sz w:val="18"/>
              </w:rPr>
              <w:t>Indeks (%)</w:t>
            </w:r>
          </w:p>
        </w:tc>
      </w:tr>
      <w:tr w:rsidR="002A6F4E">
        <w:trPr>
          <w:cantSplit/>
          <w:trHeight w:val="560"/>
        </w:trPr>
        <w:tc>
          <w:tcPr>
            <w:tcW w:w="700" w:type="dxa"/>
            <w:tcMar>
              <w:top w:w="0" w:type="dxa"/>
              <w:bottom w:w="0" w:type="dxa"/>
            </w:tcMar>
            <w:vAlign w:val="center"/>
          </w:tcPr>
          <w:p w:rsidR="002A6F4E" w:rsidRDefault="00D94E62">
            <w:pPr>
              <w:keepNext/>
              <w:keepLines/>
              <w:spacing w:after="0" w:line="240" w:lineRule="auto"/>
            </w:pPr>
            <w:r>
              <w:rPr>
                <w:sz w:val="18"/>
              </w:rPr>
              <w:t>642</w:t>
            </w:r>
          </w:p>
        </w:tc>
        <w:tc>
          <w:tcPr>
            <w:tcW w:w="3180" w:type="dxa"/>
            <w:tcMar>
              <w:top w:w="0" w:type="dxa"/>
              <w:bottom w:w="0" w:type="dxa"/>
            </w:tcMar>
            <w:vAlign w:val="center"/>
          </w:tcPr>
          <w:p w:rsidR="002A6F4E" w:rsidRDefault="00D94E62">
            <w:pPr>
              <w:keepNext/>
              <w:keepLines/>
              <w:spacing w:after="0" w:line="240" w:lineRule="auto"/>
            </w:pPr>
            <w:r>
              <w:rPr>
                <w:sz w:val="18"/>
              </w:rPr>
              <w:t>Prihodi od nefinancijske imovine (šifre 6421 do 6429)</w:t>
            </w:r>
          </w:p>
        </w:tc>
        <w:tc>
          <w:tcPr>
            <w:tcW w:w="700" w:type="dxa"/>
            <w:tcMar>
              <w:top w:w="0" w:type="dxa"/>
              <w:bottom w:w="0" w:type="dxa"/>
            </w:tcMar>
            <w:vAlign w:val="center"/>
          </w:tcPr>
          <w:p w:rsidR="002A6F4E" w:rsidRDefault="00D94E62">
            <w:pPr>
              <w:keepNext/>
              <w:keepLines/>
              <w:spacing w:after="0" w:line="240" w:lineRule="auto"/>
            </w:pPr>
            <w:r>
              <w:rPr>
                <w:sz w:val="18"/>
              </w:rPr>
              <w:t>642</w:t>
            </w:r>
          </w:p>
        </w:tc>
        <w:tc>
          <w:tcPr>
            <w:tcW w:w="1860" w:type="dxa"/>
            <w:tcMar>
              <w:top w:w="0" w:type="dxa"/>
              <w:bottom w:w="0" w:type="dxa"/>
            </w:tcMar>
            <w:vAlign w:val="center"/>
          </w:tcPr>
          <w:p w:rsidR="002A6F4E" w:rsidRDefault="00D94E62">
            <w:pPr>
              <w:keepNext/>
              <w:keepLines/>
              <w:spacing w:after="0" w:line="240" w:lineRule="auto"/>
              <w:jc w:val="right"/>
            </w:pPr>
            <w:r>
              <w:rPr>
                <w:sz w:val="18"/>
              </w:rPr>
              <w:t>179.780,47</w:t>
            </w:r>
          </w:p>
        </w:tc>
        <w:tc>
          <w:tcPr>
            <w:tcW w:w="1860" w:type="dxa"/>
            <w:tcMar>
              <w:top w:w="0" w:type="dxa"/>
              <w:bottom w:w="0" w:type="dxa"/>
            </w:tcMar>
            <w:vAlign w:val="center"/>
          </w:tcPr>
          <w:p w:rsidR="002A6F4E" w:rsidRDefault="00D94E62">
            <w:pPr>
              <w:keepNext/>
              <w:keepLines/>
              <w:spacing w:after="0" w:line="240" w:lineRule="auto"/>
              <w:jc w:val="right"/>
            </w:pPr>
            <w:r>
              <w:rPr>
                <w:sz w:val="18"/>
              </w:rPr>
              <w:t>234.476,77</w:t>
            </w:r>
          </w:p>
        </w:tc>
        <w:tc>
          <w:tcPr>
            <w:tcW w:w="700" w:type="dxa"/>
            <w:tcMar>
              <w:top w:w="0" w:type="dxa"/>
              <w:bottom w:w="0" w:type="dxa"/>
            </w:tcMar>
            <w:vAlign w:val="center"/>
          </w:tcPr>
          <w:p w:rsidR="002A6F4E" w:rsidRDefault="00D94E62">
            <w:pPr>
              <w:keepNext/>
              <w:keepLines/>
              <w:spacing w:after="0" w:line="240" w:lineRule="auto"/>
              <w:jc w:val="right"/>
            </w:pPr>
            <w:r>
              <w:rPr>
                <w:sz w:val="18"/>
              </w:rPr>
              <w:t>130,4</w:t>
            </w:r>
          </w:p>
        </w:tc>
      </w:tr>
    </w:tbl>
    <w:p w:rsidR="002A6F4E" w:rsidRDefault="002A6F4E">
      <w:pPr>
        <w:spacing w:after="0"/>
      </w:pPr>
    </w:p>
    <w:p w:rsidR="002A6F4E" w:rsidRDefault="00D94E62" w:rsidP="00D347BA">
      <w:pPr>
        <w:jc w:val="both"/>
      </w:pPr>
      <w:r>
        <w:lastRenderedPageBreak/>
        <w:t>Šifra 642 – Prihodi od nefinancijske imovine ostvareni su u iznosu od 232.476,77 eura što je za 30,4 % više nego u 2024. godini. Viši prihodi su po naplati dugovanja s osnove zakupa poslovnog prostora u izvještajnom razdoblju, realizaciji naknade za korištenje prostora elektrana i naknade za eksploataciju mineralnih sirovina.</w:t>
      </w:r>
    </w:p>
    <w:p w:rsidR="002A6F4E" w:rsidRDefault="002A6F4E"/>
    <w:p w:rsidR="002A6F4E" w:rsidRDefault="00D94E62">
      <w:pPr>
        <w:keepNext/>
        <w:spacing w:line="240" w:lineRule="auto"/>
        <w:jc w:val="center"/>
      </w:pPr>
      <w:r>
        <w:rPr>
          <w:sz w:val="28"/>
        </w:rPr>
        <w:t>Bilješka 12.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2A6F4E">
        <w:trPr>
          <w:cantSplit/>
        </w:trPr>
        <w:tc>
          <w:tcPr>
            <w:tcW w:w="700" w:type="dxa"/>
            <w:shd w:val="clear" w:color="auto" w:fill="E7F0F9"/>
            <w:tcMar>
              <w:top w:w="0" w:type="dxa"/>
              <w:bottom w:w="0" w:type="dxa"/>
            </w:tcMar>
            <w:vAlign w:val="center"/>
          </w:tcPr>
          <w:p w:rsidR="002A6F4E" w:rsidRDefault="00D94E62">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2A6F4E" w:rsidRDefault="00D94E62">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2A6F4E" w:rsidRDefault="00D94E62">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2A6F4E" w:rsidRDefault="00D94E62">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2A6F4E" w:rsidRDefault="00D94E62">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2A6F4E" w:rsidRDefault="00D94E62">
            <w:pPr>
              <w:keepNext/>
              <w:keepLines/>
              <w:spacing w:after="0" w:line="240" w:lineRule="auto"/>
              <w:jc w:val="center"/>
            </w:pPr>
            <w:r>
              <w:rPr>
                <w:b/>
                <w:sz w:val="18"/>
              </w:rPr>
              <w:t>Indeks (%)</w:t>
            </w:r>
          </w:p>
        </w:tc>
      </w:tr>
      <w:tr w:rsidR="002A6F4E">
        <w:trPr>
          <w:cantSplit/>
          <w:trHeight w:val="560"/>
        </w:trPr>
        <w:tc>
          <w:tcPr>
            <w:tcW w:w="700" w:type="dxa"/>
            <w:tcMar>
              <w:top w:w="0" w:type="dxa"/>
              <w:bottom w:w="0" w:type="dxa"/>
            </w:tcMar>
            <w:vAlign w:val="center"/>
          </w:tcPr>
          <w:p w:rsidR="002A6F4E" w:rsidRDefault="00D94E62">
            <w:pPr>
              <w:keepNext/>
              <w:keepLines/>
              <w:spacing w:after="0" w:line="240" w:lineRule="auto"/>
            </w:pPr>
            <w:r>
              <w:rPr>
                <w:sz w:val="18"/>
              </w:rPr>
              <w:t>651</w:t>
            </w:r>
          </w:p>
        </w:tc>
        <w:tc>
          <w:tcPr>
            <w:tcW w:w="3180" w:type="dxa"/>
            <w:tcMar>
              <w:top w:w="0" w:type="dxa"/>
              <w:bottom w:w="0" w:type="dxa"/>
            </w:tcMar>
            <w:vAlign w:val="center"/>
          </w:tcPr>
          <w:p w:rsidR="002A6F4E" w:rsidRDefault="00D94E62">
            <w:pPr>
              <w:keepNext/>
              <w:keepLines/>
              <w:spacing w:after="0" w:line="240" w:lineRule="auto"/>
            </w:pPr>
            <w:r>
              <w:rPr>
                <w:sz w:val="18"/>
              </w:rPr>
              <w:t>Upravne i administrativne pristojbe (šifre 6511 do 6514)</w:t>
            </w:r>
          </w:p>
        </w:tc>
        <w:tc>
          <w:tcPr>
            <w:tcW w:w="700" w:type="dxa"/>
            <w:tcMar>
              <w:top w:w="0" w:type="dxa"/>
              <w:bottom w:w="0" w:type="dxa"/>
            </w:tcMar>
            <w:vAlign w:val="center"/>
          </w:tcPr>
          <w:p w:rsidR="002A6F4E" w:rsidRDefault="00D94E62">
            <w:pPr>
              <w:keepNext/>
              <w:keepLines/>
              <w:spacing w:after="0" w:line="240" w:lineRule="auto"/>
            </w:pPr>
            <w:r>
              <w:rPr>
                <w:sz w:val="18"/>
              </w:rPr>
              <w:t>651</w:t>
            </w:r>
          </w:p>
        </w:tc>
        <w:tc>
          <w:tcPr>
            <w:tcW w:w="1860" w:type="dxa"/>
            <w:tcMar>
              <w:top w:w="0" w:type="dxa"/>
              <w:bottom w:w="0" w:type="dxa"/>
            </w:tcMar>
            <w:vAlign w:val="center"/>
          </w:tcPr>
          <w:p w:rsidR="002A6F4E" w:rsidRDefault="00D94E62">
            <w:pPr>
              <w:keepNext/>
              <w:keepLines/>
              <w:spacing w:after="0" w:line="240" w:lineRule="auto"/>
              <w:jc w:val="right"/>
            </w:pPr>
            <w:r>
              <w:rPr>
                <w:sz w:val="18"/>
              </w:rPr>
              <w:t>19.701,56</w:t>
            </w:r>
          </w:p>
        </w:tc>
        <w:tc>
          <w:tcPr>
            <w:tcW w:w="1860" w:type="dxa"/>
            <w:tcMar>
              <w:top w:w="0" w:type="dxa"/>
              <w:bottom w:w="0" w:type="dxa"/>
            </w:tcMar>
            <w:vAlign w:val="center"/>
          </w:tcPr>
          <w:p w:rsidR="002A6F4E" w:rsidRDefault="00D94E62">
            <w:pPr>
              <w:keepNext/>
              <w:keepLines/>
              <w:spacing w:after="0" w:line="240" w:lineRule="auto"/>
              <w:jc w:val="right"/>
            </w:pPr>
            <w:r>
              <w:rPr>
                <w:sz w:val="18"/>
              </w:rPr>
              <w:t>20.064,12</w:t>
            </w:r>
          </w:p>
        </w:tc>
        <w:tc>
          <w:tcPr>
            <w:tcW w:w="700" w:type="dxa"/>
            <w:tcMar>
              <w:top w:w="0" w:type="dxa"/>
              <w:bottom w:w="0" w:type="dxa"/>
            </w:tcMar>
            <w:vAlign w:val="center"/>
          </w:tcPr>
          <w:p w:rsidR="002A6F4E" w:rsidRDefault="00D94E62">
            <w:pPr>
              <w:keepNext/>
              <w:keepLines/>
              <w:spacing w:after="0" w:line="240" w:lineRule="auto"/>
              <w:jc w:val="right"/>
            </w:pPr>
            <w:r>
              <w:rPr>
                <w:sz w:val="18"/>
              </w:rPr>
              <w:t>101,8</w:t>
            </w:r>
          </w:p>
        </w:tc>
      </w:tr>
    </w:tbl>
    <w:p w:rsidR="002A6F4E" w:rsidRDefault="002A6F4E">
      <w:pPr>
        <w:spacing w:after="0"/>
      </w:pPr>
    </w:p>
    <w:p w:rsidR="002A6F4E" w:rsidRDefault="00D94E62" w:rsidP="00D347BA">
      <w:pPr>
        <w:jc w:val="both"/>
      </w:pPr>
      <w:r>
        <w:t>Šifra 651 – Upravne i administrativne pristojbe ostvarene su u iznosu od 20.064,12 eura, odnosno više za 1,8 % od istih u prošlogodišnjem razdoblju zbog većeg ostvarenog prihoda od korištenja javnih površina po izdanim Rješenjima.</w:t>
      </w:r>
    </w:p>
    <w:p w:rsidR="002A6F4E" w:rsidRDefault="002A6F4E"/>
    <w:p w:rsidR="002A6F4E" w:rsidRDefault="00D94E62">
      <w:pPr>
        <w:keepNext/>
        <w:spacing w:line="240" w:lineRule="auto"/>
        <w:jc w:val="center"/>
      </w:pPr>
      <w:r>
        <w:rPr>
          <w:sz w:val="28"/>
        </w:rPr>
        <w:t>Bilješka 13.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2A6F4E">
        <w:trPr>
          <w:cantSplit/>
        </w:trPr>
        <w:tc>
          <w:tcPr>
            <w:tcW w:w="700" w:type="dxa"/>
            <w:shd w:val="clear" w:color="auto" w:fill="E7F0F9"/>
            <w:tcMar>
              <w:top w:w="0" w:type="dxa"/>
              <w:bottom w:w="0" w:type="dxa"/>
            </w:tcMar>
            <w:vAlign w:val="center"/>
          </w:tcPr>
          <w:p w:rsidR="002A6F4E" w:rsidRDefault="00D94E62">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2A6F4E" w:rsidRDefault="00D94E62">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2A6F4E" w:rsidRDefault="00D94E62">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2A6F4E" w:rsidRDefault="00D94E62">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2A6F4E" w:rsidRDefault="00D94E62">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2A6F4E" w:rsidRDefault="00D94E62">
            <w:pPr>
              <w:keepNext/>
              <w:keepLines/>
              <w:spacing w:after="0" w:line="240" w:lineRule="auto"/>
              <w:jc w:val="center"/>
            </w:pPr>
            <w:r>
              <w:rPr>
                <w:b/>
                <w:sz w:val="18"/>
              </w:rPr>
              <w:t>Indeks (%)</w:t>
            </w:r>
          </w:p>
        </w:tc>
      </w:tr>
      <w:tr w:rsidR="002A6F4E">
        <w:trPr>
          <w:cantSplit/>
          <w:trHeight w:val="560"/>
        </w:trPr>
        <w:tc>
          <w:tcPr>
            <w:tcW w:w="700" w:type="dxa"/>
            <w:tcMar>
              <w:top w:w="0" w:type="dxa"/>
              <w:bottom w:w="0" w:type="dxa"/>
            </w:tcMar>
            <w:vAlign w:val="center"/>
          </w:tcPr>
          <w:p w:rsidR="002A6F4E" w:rsidRDefault="00D94E62">
            <w:pPr>
              <w:keepNext/>
              <w:keepLines/>
              <w:spacing w:after="0" w:line="240" w:lineRule="auto"/>
            </w:pPr>
            <w:r>
              <w:rPr>
                <w:sz w:val="18"/>
              </w:rPr>
              <w:t>652</w:t>
            </w:r>
          </w:p>
        </w:tc>
        <w:tc>
          <w:tcPr>
            <w:tcW w:w="3180" w:type="dxa"/>
            <w:tcMar>
              <w:top w:w="0" w:type="dxa"/>
              <w:bottom w:w="0" w:type="dxa"/>
            </w:tcMar>
            <w:vAlign w:val="center"/>
          </w:tcPr>
          <w:p w:rsidR="002A6F4E" w:rsidRDefault="00D94E62">
            <w:pPr>
              <w:keepNext/>
              <w:keepLines/>
              <w:spacing w:after="0" w:line="240" w:lineRule="auto"/>
            </w:pPr>
            <w:r>
              <w:rPr>
                <w:sz w:val="18"/>
              </w:rPr>
              <w:t>Prihodi po posebnim propisima (šifre 6521 do 6528)</w:t>
            </w:r>
          </w:p>
        </w:tc>
        <w:tc>
          <w:tcPr>
            <w:tcW w:w="700" w:type="dxa"/>
            <w:tcMar>
              <w:top w:w="0" w:type="dxa"/>
              <w:bottom w:w="0" w:type="dxa"/>
            </w:tcMar>
            <w:vAlign w:val="center"/>
          </w:tcPr>
          <w:p w:rsidR="002A6F4E" w:rsidRDefault="00D94E62">
            <w:pPr>
              <w:keepNext/>
              <w:keepLines/>
              <w:spacing w:after="0" w:line="240" w:lineRule="auto"/>
            </w:pPr>
            <w:r>
              <w:rPr>
                <w:sz w:val="18"/>
              </w:rPr>
              <w:t>652</w:t>
            </w:r>
          </w:p>
        </w:tc>
        <w:tc>
          <w:tcPr>
            <w:tcW w:w="1860" w:type="dxa"/>
            <w:tcMar>
              <w:top w:w="0" w:type="dxa"/>
              <w:bottom w:w="0" w:type="dxa"/>
            </w:tcMar>
            <w:vAlign w:val="center"/>
          </w:tcPr>
          <w:p w:rsidR="002A6F4E" w:rsidRDefault="00D94E62">
            <w:pPr>
              <w:keepNext/>
              <w:keepLines/>
              <w:spacing w:after="0" w:line="240" w:lineRule="auto"/>
              <w:jc w:val="right"/>
            </w:pPr>
            <w:r>
              <w:rPr>
                <w:sz w:val="18"/>
              </w:rPr>
              <w:t>130.503,58</w:t>
            </w:r>
          </w:p>
        </w:tc>
        <w:tc>
          <w:tcPr>
            <w:tcW w:w="1860" w:type="dxa"/>
            <w:tcMar>
              <w:top w:w="0" w:type="dxa"/>
              <w:bottom w:w="0" w:type="dxa"/>
            </w:tcMar>
            <w:vAlign w:val="center"/>
          </w:tcPr>
          <w:p w:rsidR="002A6F4E" w:rsidRDefault="00D94E62">
            <w:pPr>
              <w:keepNext/>
              <w:keepLines/>
              <w:spacing w:after="0" w:line="240" w:lineRule="auto"/>
              <w:jc w:val="right"/>
            </w:pPr>
            <w:r>
              <w:rPr>
                <w:sz w:val="18"/>
              </w:rPr>
              <w:t>145.139,64</w:t>
            </w:r>
          </w:p>
        </w:tc>
        <w:tc>
          <w:tcPr>
            <w:tcW w:w="700" w:type="dxa"/>
            <w:tcMar>
              <w:top w:w="0" w:type="dxa"/>
              <w:bottom w:w="0" w:type="dxa"/>
            </w:tcMar>
            <w:vAlign w:val="center"/>
          </w:tcPr>
          <w:p w:rsidR="002A6F4E" w:rsidRDefault="00D94E62">
            <w:pPr>
              <w:keepNext/>
              <w:keepLines/>
              <w:spacing w:after="0" w:line="240" w:lineRule="auto"/>
              <w:jc w:val="right"/>
            </w:pPr>
            <w:r>
              <w:rPr>
                <w:sz w:val="18"/>
              </w:rPr>
              <w:t>111,2</w:t>
            </w:r>
          </w:p>
        </w:tc>
      </w:tr>
    </w:tbl>
    <w:p w:rsidR="002A6F4E" w:rsidRDefault="002A6F4E">
      <w:pPr>
        <w:spacing w:after="0"/>
      </w:pPr>
    </w:p>
    <w:p w:rsidR="002A6F4E" w:rsidRDefault="00D94E62" w:rsidP="00D347BA">
      <w:pPr>
        <w:jc w:val="both"/>
      </w:pPr>
      <w:r>
        <w:t xml:space="preserve">Šifra 652 – Prihodi po posebnim propisima viši su od istih ostvarenih u 2024. godini za 11,2 % zbog naplaćenih potraživanja iz prijašnjih godine s osnove refundacije izrade prostorno planske dokumentacije, dok se </w:t>
      </w:r>
      <w:proofErr w:type="spellStart"/>
      <w:r>
        <w:t>se</w:t>
      </w:r>
      <w:proofErr w:type="spellEnd"/>
      <w:r>
        <w:t xml:space="preserve"> šumski doprinos ostvario u manjem iznosu u odnosu na 2024. godinu.</w:t>
      </w:r>
    </w:p>
    <w:p w:rsidR="002A6F4E" w:rsidRDefault="00D94E62">
      <w:r>
        <w:t> </w:t>
      </w:r>
    </w:p>
    <w:p w:rsidR="002A6F4E" w:rsidRDefault="002A6F4E"/>
    <w:p w:rsidR="002A6F4E" w:rsidRDefault="00D94E62">
      <w:pPr>
        <w:keepNext/>
        <w:spacing w:line="240" w:lineRule="auto"/>
        <w:jc w:val="center"/>
      </w:pPr>
      <w:r>
        <w:rPr>
          <w:sz w:val="28"/>
        </w:rPr>
        <w:t>Bilješka 14.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2A6F4E">
        <w:trPr>
          <w:cantSplit/>
        </w:trPr>
        <w:tc>
          <w:tcPr>
            <w:tcW w:w="700" w:type="dxa"/>
            <w:shd w:val="clear" w:color="auto" w:fill="E7F0F9"/>
            <w:tcMar>
              <w:top w:w="0" w:type="dxa"/>
              <w:bottom w:w="0" w:type="dxa"/>
            </w:tcMar>
            <w:vAlign w:val="center"/>
          </w:tcPr>
          <w:p w:rsidR="002A6F4E" w:rsidRDefault="00D94E62">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2A6F4E" w:rsidRDefault="00D94E62">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2A6F4E" w:rsidRDefault="00D94E62">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2A6F4E" w:rsidRDefault="00D94E62">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2A6F4E" w:rsidRDefault="00D94E62">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2A6F4E" w:rsidRDefault="00D94E62">
            <w:pPr>
              <w:keepNext/>
              <w:keepLines/>
              <w:spacing w:after="0" w:line="240" w:lineRule="auto"/>
              <w:jc w:val="center"/>
            </w:pPr>
            <w:r>
              <w:rPr>
                <w:b/>
                <w:sz w:val="18"/>
              </w:rPr>
              <w:t>Indeks (%)</w:t>
            </w:r>
          </w:p>
        </w:tc>
      </w:tr>
      <w:tr w:rsidR="002A6F4E">
        <w:trPr>
          <w:cantSplit/>
          <w:trHeight w:val="560"/>
        </w:trPr>
        <w:tc>
          <w:tcPr>
            <w:tcW w:w="700" w:type="dxa"/>
            <w:tcMar>
              <w:top w:w="0" w:type="dxa"/>
              <w:bottom w:w="0" w:type="dxa"/>
            </w:tcMar>
            <w:vAlign w:val="center"/>
          </w:tcPr>
          <w:p w:rsidR="002A6F4E" w:rsidRDefault="00D94E62">
            <w:pPr>
              <w:keepNext/>
              <w:keepLines/>
              <w:spacing w:after="0" w:line="240" w:lineRule="auto"/>
            </w:pPr>
            <w:r>
              <w:rPr>
                <w:sz w:val="18"/>
              </w:rPr>
              <w:t>653</w:t>
            </w:r>
          </w:p>
        </w:tc>
        <w:tc>
          <w:tcPr>
            <w:tcW w:w="3180" w:type="dxa"/>
            <w:tcMar>
              <w:top w:w="0" w:type="dxa"/>
              <w:bottom w:w="0" w:type="dxa"/>
            </w:tcMar>
            <w:vAlign w:val="center"/>
          </w:tcPr>
          <w:p w:rsidR="002A6F4E" w:rsidRDefault="00D94E62">
            <w:pPr>
              <w:keepNext/>
              <w:keepLines/>
              <w:spacing w:after="0" w:line="240" w:lineRule="auto"/>
            </w:pPr>
            <w:r>
              <w:rPr>
                <w:sz w:val="18"/>
              </w:rPr>
              <w:t>Komunalni doprinosi i naknade (šifre 6531 do 6533)</w:t>
            </w:r>
          </w:p>
        </w:tc>
        <w:tc>
          <w:tcPr>
            <w:tcW w:w="700" w:type="dxa"/>
            <w:tcMar>
              <w:top w:w="0" w:type="dxa"/>
              <w:bottom w:w="0" w:type="dxa"/>
            </w:tcMar>
            <w:vAlign w:val="center"/>
          </w:tcPr>
          <w:p w:rsidR="002A6F4E" w:rsidRDefault="00D94E62">
            <w:pPr>
              <w:keepNext/>
              <w:keepLines/>
              <w:spacing w:after="0" w:line="240" w:lineRule="auto"/>
            </w:pPr>
            <w:r>
              <w:rPr>
                <w:sz w:val="18"/>
              </w:rPr>
              <w:t>653</w:t>
            </w:r>
          </w:p>
        </w:tc>
        <w:tc>
          <w:tcPr>
            <w:tcW w:w="1860" w:type="dxa"/>
            <w:tcMar>
              <w:top w:w="0" w:type="dxa"/>
              <w:bottom w:w="0" w:type="dxa"/>
            </w:tcMar>
            <w:vAlign w:val="center"/>
          </w:tcPr>
          <w:p w:rsidR="002A6F4E" w:rsidRDefault="00D94E62">
            <w:pPr>
              <w:keepNext/>
              <w:keepLines/>
              <w:spacing w:after="0" w:line="240" w:lineRule="auto"/>
              <w:jc w:val="right"/>
            </w:pPr>
            <w:r>
              <w:rPr>
                <w:sz w:val="18"/>
              </w:rPr>
              <w:t>362.311,10</w:t>
            </w:r>
          </w:p>
        </w:tc>
        <w:tc>
          <w:tcPr>
            <w:tcW w:w="1860" w:type="dxa"/>
            <w:tcMar>
              <w:top w:w="0" w:type="dxa"/>
              <w:bottom w:w="0" w:type="dxa"/>
            </w:tcMar>
            <w:vAlign w:val="center"/>
          </w:tcPr>
          <w:p w:rsidR="002A6F4E" w:rsidRDefault="00D94E62">
            <w:pPr>
              <w:keepNext/>
              <w:keepLines/>
              <w:spacing w:after="0" w:line="240" w:lineRule="auto"/>
              <w:jc w:val="right"/>
            </w:pPr>
            <w:r>
              <w:rPr>
                <w:sz w:val="18"/>
              </w:rPr>
              <w:t>508.870,27</w:t>
            </w:r>
          </w:p>
        </w:tc>
        <w:tc>
          <w:tcPr>
            <w:tcW w:w="700" w:type="dxa"/>
            <w:tcMar>
              <w:top w:w="0" w:type="dxa"/>
              <w:bottom w:w="0" w:type="dxa"/>
            </w:tcMar>
            <w:vAlign w:val="center"/>
          </w:tcPr>
          <w:p w:rsidR="002A6F4E" w:rsidRDefault="00D94E62">
            <w:pPr>
              <w:keepNext/>
              <w:keepLines/>
              <w:spacing w:after="0" w:line="240" w:lineRule="auto"/>
              <w:jc w:val="right"/>
            </w:pPr>
            <w:r>
              <w:rPr>
                <w:sz w:val="18"/>
              </w:rPr>
              <w:t>140,5</w:t>
            </w:r>
          </w:p>
        </w:tc>
      </w:tr>
    </w:tbl>
    <w:p w:rsidR="002A6F4E" w:rsidRDefault="002A6F4E">
      <w:pPr>
        <w:spacing w:after="0"/>
      </w:pPr>
    </w:p>
    <w:p w:rsidR="002A6F4E" w:rsidRDefault="00D94E62" w:rsidP="00D347BA">
      <w:pPr>
        <w:jc w:val="both"/>
      </w:pPr>
      <w:r>
        <w:t>Šifra 653 – Komunalni doprinosi i naknade ostvareni su u iznosu od 508.870,27 eura, odnosno za 40,5 % više od usporednog razdoblja prošle godine. U 2025. godini ostvareno je veće povećanje prihoda po osnovi komunalne naknade zbog povećanja vrijednosti boda i prihoda od komunalnog doprinosa.</w:t>
      </w:r>
    </w:p>
    <w:p w:rsidR="002A6F4E" w:rsidRDefault="002A6F4E" w:rsidP="00D347BA">
      <w:pPr>
        <w:jc w:val="both"/>
      </w:pPr>
    </w:p>
    <w:p w:rsidR="002A6F4E" w:rsidRDefault="00D94E62">
      <w:pPr>
        <w:keepNext/>
        <w:spacing w:line="240" w:lineRule="auto"/>
        <w:jc w:val="center"/>
      </w:pPr>
      <w:r>
        <w:rPr>
          <w:sz w:val="28"/>
        </w:rPr>
        <w:lastRenderedPageBreak/>
        <w:t>Bilješka 15.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2A6F4E">
        <w:trPr>
          <w:cantSplit/>
        </w:trPr>
        <w:tc>
          <w:tcPr>
            <w:tcW w:w="700" w:type="dxa"/>
            <w:shd w:val="clear" w:color="auto" w:fill="E7F0F9"/>
            <w:tcMar>
              <w:top w:w="0" w:type="dxa"/>
              <w:bottom w:w="0" w:type="dxa"/>
            </w:tcMar>
            <w:vAlign w:val="center"/>
          </w:tcPr>
          <w:p w:rsidR="002A6F4E" w:rsidRDefault="00D94E62">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2A6F4E" w:rsidRDefault="00D94E62">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2A6F4E" w:rsidRDefault="00D94E62">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2A6F4E" w:rsidRDefault="00D94E62">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2A6F4E" w:rsidRDefault="00D94E62">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2A6F4E" w:rsidRDefault="00D94E62">
            <w:pPr>
              <w:keepNext/>
              <w:keepLines/>
              <w:spacing w:after="0" w:line="240" w:lineRule="auto"/>
              <w:jc w:val="center"/>
            </w:pPr>
            <w:r>
              <w:rPr>
                <w:b/>
                <w:sz w:val="18"/>
              </w:rPr>
              <w:t>Indeks (%)</w:t>
            </w:r>
          </w:p>
        </w:tc>
      </w:tr>
      <w:tr w:rsidR="002A6F4E">
        <w:trPr>
          <w:cantSplit/>
          <w:trHeight w:val="560"/>
        </w:trPr>
        <w:tc>
          <w:tcPr>
            <w:tcW w:w="700" w:type="dxa"/>
            <w:tcMar>
              <w:top w:w="0" w:type="dxa"/>
              <w:bottom w:w="0" w:type="dxa"/>
            </w:tcMar>
            <w:vAlign w:val="center"/>
          </w:tcPr>
          <w:p w:rsidR="002A6F4E" w:rsidRDefault="00D94E62">
            <w:pPr>
              <w:keepNext/>
              <w:keepLines/>
              <w:spacing w:after="0" w:line="240" w:lineRule="auto"/>
            </w:pPr>
            <w:r>
              <w:rPr>
                <w:sz w:val="18"/>
              </w:rPr>
              <w:t>661</w:t>
            </w:r>
          </w:p>
        </w:tc>
        <w:tc>
          <w:tcPr>
            <w:tcW w:w="3180" w:type="dxa"/>
            <w:tcMar>
              <w:top w:w="0" w:type="dxa"/>
              <w:bottom w:w="0" w:type="dxa"/>
            </w:tcMar>
            <w:vAlign w:val="center"/>
          </w:tcPr>
          <w:p w:rsidR="002A6F4E" w:rsidRDefault="00D94E62">
            <w:pPr>
              <w:keepNext/>
              <w:keepLines/>
              <w:spacing w:after="0" w:line="240" w:lineRule="auto"/>
            </w:pPr>
            <w:r>
              <w:rPr>
                <w:sz w:val="18"/>
              </w:rPr>
              <w:t>Prihodi od prodaje proizvoda i robe te pruženih usluga (šifre 6614+6615)</w:t>
            </w:r>
          </w:p>
        </w:tc>
        <w:tc>
          <w:tcPr>
            <w:tcW w:w="700" w:type="dxa"/>
            <w:tcMar>
              <w:top w:w="0" w:type="dxa"/>
              <w:bottom w:w="0" w:type="dxa"/>
            </w:tcMar>
            <w:vAlign w:val="center"/>
          </w:tcPr>
          <w:p w:rsidR="002A6F4E" w:rsidRDefault="00D94E62">
            <w:pPr>
              <w:keepNext/>
              <w:keepLines/>
              <w:spacing w:after="0" w:line="240" w:lineRule="auto"/>
            </w:pPr>
            <w:r>
              <w:rPr>
                <w:sz w:val="18"/>
              </w:rPr>
              <w:t>661</w:t>
            </w:r>
          </w:p>
        </w:tc>
        <w:tc>
          <w:tcPr>
            <w:tcW w:w="1860" w:type="dxa"/>
            <w:tcMar>
              <w:top w:w="0" w:type="dxa"/>
              <w:bottom w:w="0" w:type="dxa"/>
            </w:tcMar>
            <w:vAlign w:val="center"/>
          </w:tcPr>
          <w:p w:rsidR="002A6F4E" w:rsidRDefault="00D94E62">
            <w:pPr>
              <w:keepNext/>
              <w:keepLines/>
              <w:spacing w:after="0" w:line="240" w:lineRule="auto"/>
              <w:jc w:val="right"/>
            </w:pPr>
            <w:r>
              <w:rPr>
                <w:sz w:val="18"/>
              </w:rPr>
              <w:t>5.019,48</w:t>
            </w:r>
          </w:p>
        </w:tc>
        <w:tc>
          <w:tcPr>
            <w:tcW w:w="1860" w:type="dxa"/>
            <w:tcMar>
              <w:top w:w="0" w:type="dxa"/>
              <w:bottom w:w="0" w:type="dxa"/>
            </w:tcMar>
            <w:vAlign w:val="center"/>
          </w:tcPr>
          <w:p w:rsidR="002A6F4E" w:rsidRDefault="00D94E62">
            <w:pPr>
              <w:keepNext/>
              <w:keepLines/>
              <w:spacing w:after="0" w:line="240" w:lineRule="auto"/>
              <w:jc w:val="right"/>
            </w:pPr>
            <w:r>
              <w:rPr>
                <w:sz w:val="18"/>
              </w:rPr>
              <w:t>6.212,54</w:t>
            </w:r>
          </w:p>
        </w:tc>
        <w:tc>
          <w:tcPr>
            <w:tcW w:w="700" w:type="dxa"/>
            <w:tcMar>
              <w:top w:w="0" w:type="dxa"/>
              <w:bottom w:w="0" w:type="dxa"/>
            </w:tcMar>
            <w:vAlign w:val="center"/>
          </w:tcPr>
          <w:p w:rsidR="002A6F4E" w:rsidRDefault="00D94E62">
            <w:pPr>
              <w:keepNext/>
              <w:keepLines/>
              <w:spacing w:after="0" w:line="240" w:lineRule="auto"/>
              <w:jc w:val="right"/>
            </w:pPr>
            <w:r>
              <w:rPr>
                <w:sz w:val="18"/>
              </w:rPr>
              <w:t>123,8</w:t>
            </w:r>
          </w:p>
        </w:tc>
      </w:tr>
    </w:tbl>
    <w:p w:rsidR="002A6F4E" w:rsidRDefault="002A6F4E">
      <w:pPr>
        <w:spacing w:after="0"/>
      </w:pPr>
    </w:p>
    <w:p w:rsidR="002A6F4E" w:rsidRDefault="00D94E62" w:rsidP="00D347BA">
      <w:pPr>
        <w:jc w:val="both"/>
      </w:pPr>
      <w:r>
        <w:t>Šifra 661 – Prihodi od prodaje proizvoda i robe te pruženih usluga viši su za 23,8 % od onih u razdoblju siječanj – prosinac 2025. godine zbog bolje naplate potraživanja od Hrvatskih voda za uslugu naplate naknade za uređenje voda.</w:t>
      </w:r>
    </w:p>
    <w:p w:rsidR="002A6F4E" w:rsidRDefault="00D94E62" w:rsidP="00D347BA">
      <w:pPr>
        <w:jc w:val="both"/>
      </w:pPr>
      <w:r>
        <w:t> </w:t>
      </w:r>
    </w:p>
    <w:p w:rsidR="002A6F4E" w:rsidRDefault="002A6F4E"/>
    <w:p w:rsidR="002A6F4E" w:rsidRDefault="00D94E62">
      <w:pPr>
        <w:keepNext/>
        <w:spacing w:line="240" w:lineRule="auto"/>
        <w:jc w:val="center"/>
      </w:pPr>
      <w:r>
        <w:rPr>
          <w:sz w:val="28"/>
        </w:rPr>
        <w:t>Bilješka 16.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2A6F4E">
        <w:trPr>
          <w:cantSplit/>
        </w:trPr>
        <w:tc>
          <w:tcPr>
            <w:tcW w:w="700" w:type="dxa"/>
            <w:shd w:val="clear" w:color="auto" w:fill="E7F0F9"/>
            <w:tcMar>
              <w:top w:w="0" w:type="dxa"/>
              <w:bottom w:w="0" w:type="dxa"/>
            </w:tcMar>
            <w:vAlign w:val="center"/>
          </w:tcPr>
          <w:p w:rsidR="002A6F4E" w:rsidRDefault="00D94E62">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2A6F4E" w:rsidRDefault="00D94E62">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2A6F4E" w:rsidRDefault="00D94E62">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2A6F4E" w:rsidRDefault="00D94E62">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2A6F4E" w:rsidRDefault="00D94E62">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2A6F4E" w:rsidRDefault="00D94E62">
            <w:pPr>
              <w:keepNext/>
              <w:keepLines/>
              <w:spacing w:after="0" w:line="240" w:lineRule="auto"/>
              <w:jc w:val="center"/>
            </w:pPr>
            <w:r>
              <w:rPr>
                <w:b/>
                <w:sz w:val="18"/>
              </w:rPr>
              <w:t>Indeks (%)</w:t>
            </w:r>
          </w:p>
        </w:tc>
      </w:tr>
      <w:tr w:rsidR="002A6F4E">
        <w:trPr>
          <w:cantSplit/>
          <w:trHeight w:val="560"/>
        </w:trPr>
        <w:tc>
          <w:tcPr>
            <w:tcW w:w="700" w:type="dxa"/>
            <w:tcMar>
              <w:top w:w="0" w:type="dxa"/>
              <w:bottom w:w="0" w:type="dxa"/>
            </w:tcMar>
            <w:vAlign w:val="center"/>
          </w:tcPr>
          <w:p w:rsidR="002A6F4E" w:rsidRDefault="00D94E62">
            <w:pPr>
              <w:keepNext/>
              <w:keepLines/>
              <w:spacing w:after="0" w:line="240" w:lineRule="auto"/>
            </w:pPr>
            <w:r>
              <w:rPr>
                <w:sz w:val="18"/>
              </w:rPr>
              <w:t>663</w:t>
            </w:r>
          </w:p>
        </w:tc>
        <w:tc>
          <w:tcPr>
            <w:tcW w:w="3180" w:type="dxa"/>
            <w:tcMar>
              <w:top w:w="0" w:type="dxa"/>
              <w:bottom w:w="0" w:type="dxa"/>
            </w:tcMar>
            <w:vAlign w:val="center"/>
          </w:tcPr>
          <w:p w:rsidR="002A6F4E" w:rsidRDefault="00D94E62">
            <w:pPr>
              <w:keepNext/>
              <w:keepLines/>
              <w:spacing w:after="0" w:line="240" w:lineRule="auto"/>
            </w:pPr>
            <w:r>
              <w:rPr>
                <w:sz w:val="18"/>
              </w:rPr>
              <w:t>Donacije od pravnih i fizičkih osoba izvan općeg proračuna te povrat donacija i kapitalnih pomoći po protestiranim jamstvima (šifre 6631 do 6634)</w:t>
            </w:r>
          </w:p>
        </w:tc>
        <w:tc>
          <w:tcPr>
            <w:tcW w:w="700" w:type="dxa"/>
            <w:tcMar>
              <w:top w:w="0" w:type="dxa"/>
              <w:bottom w:w="0" w:type="dxa"/>
            </w:tcMar>
            <w:vAlign w:val="center"/>
          </w:tcPr>
          <w:p w:rsidR="002A6F4E" w:rsidRDefault="00D94E62">
            <w:pPr>
              <w:keepNext/>
              <w:keepLines/>
              <w:spacing w:after="0" w:line="240" w:lineRule="auto"/>
            </w:pPr>
            <w:r>
              <w:rPr>
                <w:sz w:val="18"/>
              </w:rPr>
              <w:t>663</w:t>
            </w:r>
          </w:p>
        </w:tc>
        <w:tc>
          <w:tcPr>
            <w:tcW w:w="1860" w:type="dxa"/>
            <w:tcMar>
              <w:top w:w="0" w:type="dxa"/>
              <w:bottom w:w="0" w:type="dxa"/>
            </w:tcMar>
            <w:vAlign w:val="center"/>
          </w:tcPr>
          <w:p w:rsidR="002A6F4E" w:rsidRDefault="00D94E62">
            <w:pPr>
              <w:keepNext/>
              <w:keepLines/>
              <w:spacing w:after="0" w:line="240" w:lineRule="auto"/>
              <w:jc w:val="right"/>
            </w:pPr>
            <w:r>
              <w:rPr>
                <w:sz w:val="18"/>
              </w:rPr>
              <w:t>10.469,75</w:t>
            </w:r>
          </w:p>
        </w:tc>
        <w:tc>
          <w:tcPr>
            <w:tcW w:w="1860" w:type="dxa"/>
            <w:tcMar>
              <w:top w:w="0" w:type="dxa"/>
              <w:bottom w:w="0" w:type="dxa"/>
            </w:tcMar>
            <w:vAlign w:val="center"/>
          </w:tcPr>
          <w:p w:rsidR="002A6F4E" w:rsidRDefault="00D94E62">
            <w:pPr>
              <w:keepNext/>
              <w:keepLines/>
              <w:spacing w:after="0" w:line="240" w:lineRule="auto"/>
              <w:jc w:val="right"/>
            </w:pPr>
            <w:r>
              <w:rPr>
                <w:sz w:val="18"/>
              </w:rPr>
              <w:t>0,00</w:t>
            </w:r>
          </w:p>
        </w:tc>
        <w:tc>
          <w:tcPr>
            <w:tcW w:w="700" w:type="dxa"/>
            <w:tcMar>
              <w:top w:w="0" w:type="dxa"/>
              <w:bottom w:w="0" w:type="dxa"/>
            </w:tcMar>
            <w:vAlign w:val="center"/>
          </w:tcPr>
          <w:p w:rsidR="002A6F4E" w:rsidRDefault="00D94E62">
            <w:pPr>
              <w:keepNext/>
              <w:keepLines/>
              <w:spacing w:after="0" w:line="240" w:lineRule="auto"/>
              <w:jc w:val="right"/>
            </w:pPr>
            <w:r>
              <w:rPr>
                <w:sz w:val="18"/>
              </w:rPr>
              <w:t>0</w:t>
            </w:r>
          </w:p>
        </w:tc>
      </w:tr>
    </w:tbl>
    <w:p w:rsidR="002A6F4E" w:rsidRDefault="002A6F4E">
      <w:pPr>
        <w:spacing w:after="0"/>
      </w:pPr>
    </w:p>
    <w:p w:rsidR="002A6F4E" w:rsidRDefault="00D94E62" w:rsidP="00D347BA">
      <w:pPr>
        <w:jc w:val="both"/>
      </w:pPr>
      <w:r>
        <w:t>Šifra 663 – Donacije od pravnih i fizičkih osoba izvan općeg proračuna u izvještajnom razdoblju se nisu realizirale.</w:t>
      </w:r>
    </w:p>
    <w:p w:rsidR="002A6F4E" w:rsidRDefault="00D94E62">
      <w:r>
        <w:t> </w:t>
      </w:r>
    </w:p>
    <w:p w:rsidR="002A6F4E" w:rsidRDefault="002A6F4E"/>
    <w:p w:rsidR="002A6F4E" w:rsidRDefault="00D94E62">
      <w:pPr>
        <w:keepNext/>
        <w:spacing w:line="240" w:lineRule="auto"/>
        <w:jc w:val="center"/>
      </w:pPr>
      <w:r>
        <w:rPr>
          <w:sz w:val="28"/>
        </w:rPr>
        <w:t>Bilješka 17.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2A6F4E">
        <w:trPr>
          <w:cantSplit/>
        </w:trPr>
        <w:tc>
          <w:tcPr>
            <w:tcW w:w="700" w:type="dxa"/>
            <w:shd w:val="clear" w:color="auto" w:fill="E7F0F9"/>
            <w:tcMar>
              <w:top w:w="0" w:type="dxa"/>
              <w:bottom w:w="0" w:type="dxa"/>
            </w:tcMar>
            <w:vAlign w:val="center"/>
          </w:tcPr>
          <w:p w:rsidR="002A6F4E" w:rsidRDefault="00D94E62">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2A6F4E" w:rsidRDefault="00D94E62">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2A6F4E" w:rsidRDefault="00D94E62">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2A6F4E" w:rsidRDefault="00D94E62">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2A6F4E" w:rsidRDefault="00D94E62">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2A6F4E" w:rsidRDefault="00D94E62">
            <w:pPr>
              <w:keepNext/>
              <w:keepLines/>
              <w:spacing w:after="0" w:line="240" w:lineRule="auto"/>
              <w:jc w:val="center"/>
            </w:pPr>
            <w:r>
              <w:rPr>
                <w:b/>
                <w:sz w:val="18"/>
              </w:rPr>
              <w:t>Indeks (%)</w:t>
            </w:r>
          </w:p>
        </w:tc>
      </w:tr>
      <w:tr w:rsidR="002A6F4E">
        <w:trPr>
          <w:cantSplit/>
          <w:trHeight w:val="560"/>
        </w:trPr>
        <w:tc>
          <w:tcPr>
            <w:tcW w:w="700" w:type="dxa"/>
            <w:tcMar>
              <w:top w:w="0" w:type="dxa"/>
              <w:bottom w:w="0" w:type="dxa"/>
            </w:tcMar>
            <w:vAlign w:val="center"/>
          </w:tcPr>
          <w:p w:rsidR="002A6F4E" w:rsidRDefault="00D94E62">
            <w:pPr>
              <w:keepNext/>
              <w:keepLines/>
              <w:spacing w:after="0" w:line="240" w:lineRule="auto"/>
            </w:pPr>
            <w:r>
              <w:rPr>
                <w:sz w:val="18"/>
              </w:rPr>
              <w:t>31</w:t>
            </w:r>
          </w:p>
        </w:tc>
        <w:tc>
          <w:tcPr>
            <w:tcW w:w="3180" w:type="dxa"/>
            <w:tcMar>
              <w:top w:w="0" w:type="dxa"/>
              <w:bottom w:w="0" w:type="dxa"/>
            </w:tcMar>
            <w:vAlign w:val="center"/>
          </w:tcPr>
          <w:p w:rsidR="002A6F4E" w:rsidRDefault="00D94E62">
            <w:pPr>
              <w:keepNext/>
              <w:keepLines/>
              <w:spacing w:after="0" w:line="240" w:lineRule="auto"/>
            </w:pPr>
            <w:r>
              <w:rPr>
                <w:sz w:val="18"/>
              </w:rPr>
              <w:t>Rashodi za zaposlene (šifre 311+312+313)</w:t>
            </w:r>
          </w:p>
        </w:tc>
        <w:tc>
          <w:tcPr>
            <w:tcW w:w="700" w:type="dxa"/>
            <w:tcMar>
              <w:top w:w="0" w:type="dxa"/>
              <w:bottom w:w="0" w:type="dxa"/>
            </w:tcMar>
            <w:vAlign w:val="center"/>
          </w:tcPr>
          <w:p w:rsidR="002A6F4E" w:rsidRDefault="00D94E62">
            <w:pPr>
              <w:keepNext/>
              <w:keepLines/>
              <w:spacing w:after="0" w:line="240" w:lineRule="auto"/>
            </w:pPr>
            <w:r>
              <w:rPr>
                <w:sz w:val="18"/>
              </w:rPr>
              <w:t>31</w:t>
            </w:r>
          </w:p>
        </w:tc>
        <w:tc>
          <w:tcPr>
            <w:tcW w:w="1860" w:type="dxa"/>
            <w:tcMar>
              <w:top w:w="0" w:type="dxa"/>
              <w:bottom w:w="0" w:type="dxa"/>
            </w:tcMar>
            <w:vAlign w:val="center"/>
          </w:tcPr>
          <w:p w:rsidR="002A6F4E" w:rsidRDefault="00D94E62">
            <w:pPr>
              <w:keepNext/>
              <w:keepLines/>
              <w:spacing w:after="0" w:line="240" w:lineRule="auto"/>
              <w:jc w:val="right"/>
            </w:pPr>
            <w:r>
              <w:rPr>
                <w:sz w:val="18"/>
              </w:rPr>
              <w:t>342.612,74</w:t>
            </w:r>
          </w:p>
        </w:tc>
        <w:tc>
          <w:tcPr>
            <w:tcW w:w="1860" w:type="dxa"/>
            <w:tcMar>
              <w:top w:w="0" w:type="dxa"/>
              <w:bottom w:w="0" w:type="dxa"/>
            </w:tcMar>
            <w:vAlign w:val="center"/>
          </w:tcPr>
          <w:p w:rsidR="002A6F4E" w:rsidRDefault="00D94E62">
            <w:pPr>
              <w:keepNext/>
              <w:keepLines/>
              <w:spacing w:after="0" w:line="240" w:lineRule="auto"/>
              <w:jc w:val="right"/>
            </w:pPr>
            <w:r>
              <w:rPr>
                <w:sz w:val="18"/>
              </w:rPr>
              <w:t>505.291,77</w:t>
            </w:r>
          </w:p>
        </w:tc>
        <w:tc>
          <w:tcPr>
            <w:tcW w:w="700" w:type="dxa"/>
            <w:tcMar>
              <w:top w:w="0" w:type="dxa"/>
              <w:bottom w:w="0" w:type="dxa"/>
            </w:tcMar>
            <w:vAlign w:val="center"/>
          </w:tcPr>
          <w:p w:rsidR="002A6F4E" w:rsidRDefault="00D94E62">
            <w:pPr>
              <w:keepNext/>
              <w:keepLines/>
              <w:spacing w:after="0" w:line="240" w:lineRule="auto"/>
              <w:jc w:val="right"/>
            </w:pPr>
            <w:r>
              <w:rPr>
                <w:sz w:val="18"/>
              </w:rPr>
              <w:t>147,5</w:t>
            </w:r>
          </w:p>
        </w:tc>
      </w:tr>
    </w:tbl>
    <w:p w:rsidR="002A6F4E" w:rsidRDefault="002A6F4E">
      <w:pPr>
        <w:spacing w:after="0"/>
      </w:pPr>
    </w:p>
    <w:p w:rsidR="002A6F4E" w:rsidRDefault="00D94E62" w:rsidP="00D347BA">
      <w:pPr>
        <w:jc w:val="both"/>
      </w:pPr>
      <w:r>
        <w:t>Šifra 31 – Rashodi za zaposlene ostvareni su u iznosu od 414.207,74 eura što je za 50,6 % više nego u lanjskom razdoblju, a što je rezultat povećanja plaća zaposlenih. Obuhvaćaju izdatke za bruto plaće zaposlenih, doprinose za obvezno zdravstveno osiguranje te ostale rashode za zaposlene.</w:t>
      </w:r>
    </w:p>
    <w:p w:rsidR="002A6F4E" w:rsidRDefault="00D94E62" w:rsidP="00D347BA">
      <w:pPr>
        <w:jc w:val="both"/>
      </w:pPr>
      <w:r>
        <w:t>Navedeno povećanje rezultat je povećanja plaća zaposlenih u Općini kao i u Programu ZAŽELI – IV. faza.</w:t>
      </w:r>
    </w:p>
    <w:p w:rsidR="002A6F4E" w:rsidRDefault="002A6F4E"/>
    <w:p w:rsidR="002A6F4E" w:rsidRDefault="00D94E62">
      <w:pPr>
        <w:keepNext/>
        <w:spacing w:line="240" w:lineRule="auto"/>
        <w:jc w:val="center"/>
      </w:pPr>
      <w:r>
        <w:rPr>
          <w:sz w:val="28"/>
        </w:rPr>
        <w:lastRenderedPageBreak/>
        <w:t>Bilješka 18.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2A6F4E">
        <w:trPr>
          <w:cantSplit/>
        </w:trPr>
        <w:tc>
          <w:tcPr>
            <w:tcW w:w="700" w:type="dxa"/>
            <w:shd w:val="clear" w:color="auto" w:fill="E7F0F9"/>
            <w:tcMar>
              <w:top w:w="0" w:type="dxa"/>
              <w:bottom w:w="0" w:type="dxa"/>
            </w:tcMar>
            <w:vAlign w:val="center"/>
          </w:tcPr>
          <w:p w:rsidR="002A6F4E" w:rsidRDefault="00D94E62">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2A6F4E" w:rsidRDefault="00D94E62">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2A6F4E" w:rsidRDefault="00D94E62">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2A6F4E" w:rsidRDefault="00D94E62">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2A6F4E" w:rsidRDefault="00D94E62">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2A6F4E" w:rsidRDefault="00D94E62">
            <w:pPr>
              <w:keepNext/>
              <w:keepLines/>
              <w:spacing w:after="0" w:line="240" w:lineRule="auto"/>
              <w:jc w:val="center"/>
            </w:pPr>
            <w:r>
              <w:rPr>
                <w:b/>
                <w:sz w:val="18"/>
              </w:rPr>
              <w:t>Indeks (%)</w:t>
            </w:r>
          </w:p>
        </w:tc>
      </w:tr>
      <w:tr w:rsidR="002A6F4E">
        <w:trPr>
          <w:cantSplit/>
          <w:trHeight w:val="560"/>
        </w:trPr>
        <w:tc>
          <w:tcPr>
            <w:tcW w:w="700" w:type="dxa"/>
            <w:tcMar>
              <w:top w:w="0" w:type="dxa"/>
              <w:bottom w:w="0" w:type="dxa"/>
            </w:tcMar>
            <w:vAlign w:val="center"/>
          </w:tcPr>
          <w:p w:rsidR="002A6F4E" w:rsidRDefault="00D94E62">
            <w:pPr>
              <w:keepNext/>
              <w:keepLines/>
              <w:spacing w:after="0" w:line="240" w:lineRule="auto"/>
            </w:pPr>
            <w:r>
              <w:rPr>
                <w:sz w:val="18"/>
              </w:rPr>
              <w:t>32</w:t>
            </w:r>
          </w:p>
        </w:tc>
        <w:tc>
          <w:tcPr>
            <w:tcW w:w="3180" w:type="dxa"/>
            <w:tcMar>
              <w:top w:w="0" w:type="dxa"/>
              <w:bottom w:w="0" w:type="dxa"/>
            </w:tcMar>
            <w:vAlign w:val="center"/>
          </w:tcPr>
          <w:p w:rsidR="002A6F4E" w:rsidRDefault="00D94E62">
            <w:pPr>
              <w:keepNext/>
              <w:keepLines/>
              <w:spacing w:after="0" w:line="240" w:lineRule="auto"/>
            </w:pPr>
            <w:r>
              <w:rPr>
                <w:sz w:val="18"/>
              </w:rPr>
              <w:t>Materijalni rashodi (šifre 321+322+323+324+325+329)</w:t>
            </w:r>
          </w:p>
        </w:tc>
        <w:tc>
          <w:tcPr>
            <w:tcW w:w="700" w:type="dxa"/>
            <w:tcMar>
              <w:top w:w="0" w:type="dxa"/>
              <w:bottom w:w="0" w:type="dxa"/>
            </w:tcMar>
            <w:vAlign w:val="center"/>
          </w:tcPr>
          <w:p w:rsidR="002A6F4E" w:rsidRDefault="00D94E62">
            <w:pPr>
              <w:keepNext/>
              <w:keepLines/>
              <w:spacing w:after="0" w:line="240" w:lineRule="auto"/>
            </w:pPr>
            <w:r>
              <w:rPr>
                <w:sz w:val="18"/>
              </w:rPr>
              <w:t>32</w:t>
            </w:r>
          </w:p>
        </w:tc>
        <w:tc>
          <w:tcPr>
            <w:tcW w:w="1860" w:type="dxa"/>
            <w:tcMar>
              <w:top w:w="0" w:type="dxa"/>
              <w:bottom w:w="0" w:type="dxa"/>
            </w:tcMar>
            <w:vAlign w:val="center"/>
          </w:tcPr>
          <w:p w:rsidR="002A6F4E" w:rsidRDefault="00D94E62">
            <w:pPr>
              <w:keepNext/>
              <w:keepLines/>
              <w:spacing w:after="0" w:line="240" w:lineRule="auto"/>
              <w:jc w:val="right"/>
            </w:pPr>
            <w:r>
              <w:rPr>
                <w:sz w:val="18"/>
              </w:rPr>
              <w:t>1.131.476,18</w:t>
            </w:r>
          </w:p>
        </w:tc>
        <w:tc>
          <w:tcPr>
            <w:tcW w:w="1860" w:type="dxa"/>
            <w:tcMar>
              <w:top w:w="0" w:type="dxa"/>
              <w:bottom w:w="0" w:type="dxa"/>
            </w:tcMar>
            <w:vAlign w:val="center"/>
          </w:tcPr>
          <w:p w:rsidR="002A6F4E" w:rsidRDefault="00D94E62">
            <w:pPr>
              <w:keepNext/>
              <w:keepLines/>
              <w:spacing w:after="0" w:line="240" w:lineRule="auto"/>
              <w:jc w:val="right"/>
            </w:pPr>
            <w:r>
              <w:rPr>
                <w:sz w:val="18"/>
              </w:rPr>
              <w:t>1.275.144,80</w:t>
            </w:r>
          </w:p>
        </w:tc>
        <w:tc>
          <w:tcPr>
            <w:tcW w:w="700" w:type="dxa"/>
            <w:tcMar>
              <w:top w:w="0" w:type="dxa"/>
              <w:bottom w:w="0" w:type="dxa"/>
            </w:tcMar>
            <w:vAlign w:val="center"/>
          </w:tcPr>
          <w:p w:rsidR="002A6F4E" w:rsidRDefault="00D94E62">
            <w:pPr>
              <w:keepNext/>
              <w:keepLines/>
              <w:spacing w:after="0" w:line="240" w:lineRule="auto"/>
              <w:jc w:val="right"/>
            </w:pPr>
            <w:r>
              <w:rPr>
                <w:sz w:val="18"/>
              </w:rPr>
              <w:t>112,7</w:t>
            </w:r>
          </w:p>
        </w:tc>
      </w:tr>
    </w:tbl>
    <w:p w:rsidR="002A6F4E" w:rsidRDefault="002A6F4E">
      <w:pPr>
        <w:spacing w:after="0"/>
      </w:pPr>
    </w:p>
    <w:p w:rsidR="002A6F4E" w:rsidRDefault="00D94E62" w:rsidP="00D347BA">
      <w:pPr>
        <w:jc w:val="both"/>
      </w:pPr>
      <w:r>
        <w:t>Šifra 321 – Naknade troškova zaposlenima ostvarene su u izvještajnom razdoblju u iznosu od 24.315,62 eura što je za 144,1 % više od istih 2024. godine. Razlog povećanja je veća realizacija naknade troškova prijevoza zaposlenih u Općini i zaposlenih u Programu ZAŽELI – IV. Faza.</w:t>
      </w:r>
    </w:p>
    <w:p w:rsidR="002A6F4E" w:rsidRDefault="00D94E62">
      <w:r>
        <w:t> </w:t>
      </w:r>
    </w:p>
    <w:p w:rsidR="002A6F4E" w:rsidRDefault="002A6F4E"/>
    <w:p w:rsidR="002A6F4E" w:rsidRDefault="00D94E62">
      <w:pPr>
        <w:keepNext/>
        <w:spacing w:line="240" w:lineRule="auto"/>
        <w:jc w:val="center"/>
      </w:pPr>
      <w:r>
        <w:rPr>
          <w:sz w:val="28"/>
        </w:rPr>
        <w:t>Bilješka 19.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2A6F4E">
        <w:trPr>
          <w:cantSplit/>
        </w:trPr>
        <w:tc>
          <w:tcPr>
            <w:tcW w:w="700" w:type="dxa"/>
            <w:shd w:val="clear" w:color="auto" w:fill="E7F0F9"/>
            <w:tcMar>
              <w:top w:w="0" w:type="dxa"/>
              <w:bottom w:w="0" w:type="dxa"/>
            </w:tcMar>
            <w:vAlign w:val="center"/>
          </w:tcPr>
          <w:p w:rsidR="002A6F4E" w:rsidRDefault="00D94E62">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2A6F4E" w:rsidRDefault="00D94E62">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2A6F4E" w:rsidRDefault="00D94E62">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2A6F4E" w:rsidRDefault="00D94E62">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2A6F4E" w:rsidRDefault="00D94E62">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2A6F4E" w:rsidRDefault="00D94E62">
            <w:pPr>
              <w:keepNext/>
              <w:keepLines/>
              <w:spacing w:after="0" w:line="240" w:lineRule="auto"/>
              <w:jc w:val="center"/>
            </w:pPr>
            <w:r>
              <w:rPr>
                <w:b/>
                <w:sz w:val="18"/>
              </w:rPr>
              <w:t>Indeks (%)</w:t>
            </w:r>
          </w:p>
        </w:tc>
      </w:tr>
      <w:tr w:rsidR="002A6F4E">
        <w:trPr>
          <w:cantSplit/>
          <w:trHeight w:val="560"/>
        </w:trPr>
        <w:tc>
          <w:tcPr>
            <w:tcW w:w="700" w:type="dxa"/>
            <w:tcMar>
              <w:top w:w="0" w:type="dxa"/>
              <w:bottom w:w="0" w:type="dxa"/>
            </w:tcMar>
            <w:vAlign w:val="center"/>
          </w:tcPr>
          <w:p w:rsidR="002A6F4E" w:rsidRDefault="00D94E62">
            <w:pPr>
              <w:keepNext/>
              <w:keepLines/>
              <w:spacing w:after="0" w:line="240" w:lineRule="auto"/>
            </w:pPr>
            <w:r>
              <w:rPr>
                <w:sz w:val="18"/>
              </w:rPr>
              <w:t>322</w:t>
            </w:r>
          </w:p>
        </w:tc>
        <w:tc>
          <w:tcPr>
            <w:tcW w:w="3180" w:type="dxa"/>
            <w:tcMar>
              <w:top w:w="0" w:type="dxa"/>
              <w:bottom w:w="0" w:type="dxa"/>
            </w:tcMar>
            <w:vAlign w:val="center"/>
          </w:tcPr>
          <w:p w:rsidR="002A6F4E" w:rsidRDefault="00D94E62">
            <w:pPr>
              <w:keepNext/>
              <w:keepLines/>
              <w:spacing w:after="0" w:line="240" w:lineRule="auto"/>
            </w:pPr>
            <w:r>
              <w:rPr>
                <w:sz w:val="18"/>
              </w:rPr>
              <w:t>Rashodi za materijal i energiju (šifre 3221 do 3227)</w:t>
            </w:r>
          </w:p>
        </w:tc>
        <w:tc>
          <w:tcPr>
            <w:tcW w:w="700" w:type="dxa"/>
            <w:tcMar>
              <w:top w:w="0" w:type="dxa"/>
              <w:bottom w:w="0" w:type="dxa"/>
            </w:tcMar>
            <w:vAlign w:val="center"/>
          </w:tcPr>
          <w:p w:rsidR="002A6F4E" w:rsidRDefault="00D94E62">
            <w:pPr>
              <w:keepNext/>
              <w:keepLines/>
              <w:spacing w:after="0" w:line="240" w:lineRule="auto"/>
            </w:pPr>
            <w:r>
              <w:rPr>
                <w:sz w:val="18"/>
              </w:rPr>
              <w:t>322</w:t>
            </w:r>
          </w:p>
        </w:tc>
        <w:tc>
          <w:tcPr>
            <w:tcW w:w="1860" w:type="dxa"/>
            <w:tcMar>
              <w:top w:w="0" w:type="dxa"/>
              <w:bottom w:w="0" w:type="dxa"/>
            </w:tcMar>
            <w:vAlign w:val="center"/>
          </w:tcPr>
          <w:p w:rsidR="002A6F4E" w:rsidRDefault="00D94E62">
            <w:pPr>
              <w:keepNext/>
              <w:keepLines/>
              <w:spacing w:after="0" w:line="240" w:lineRule="auto"/>
              <w:jc w:val="right"/>
            </w:pPr>
            <w:r>
              <w:rPr>
                <w:sz w:val="18"/>
              </w:rPr>
              <w:t>62.632,78</w:t>
            </w:r>
          </w:p>
        </w:tc>
        <w:tc>
          <w:tcPr>
            <w:tcW w:w="1860" w:type="dxa"/>
            <w:tcMar>
              <w:top w:w="0" w:type="dxa"/>
              <w:bottom w:w="0" w:type="dxa"/>
            </w:tcMar>
            <w:vAlign w:val="center"/>
          </w:tcPr>
          <w:p w:rsidR="002A6F4E" w:rsidRDefault="00D94E62">
            <w:pPr>
              <w:keepNext/>
              <w:keepLines/>
              <w:spacing w:after="0" w:line="240" w:lineRule="auto"/>
              <w:jc w:val="right"/>
            </w:pPr>
            <w:r>
              <w:rPr>
                <w:sz w:val="18"/>
              </w:rPr>
              <w:t>67.215,03</w:t>
            </w:r>
          </w:p>
        </w:tc>
        <w:tc>
          <w:tcPr>
            <w:tcW w:w="700" w:type="dxa"/>
            <w:tcMar>
              <w:top w:w="0" w:type="dxa"/>
              <w:bottom w:w="0" w:type="dxa"/>
            </w:tcMar>
            <w:vAlign w:val="center"/>
          </w:tcPr>
          <w:p w:rsidR="002A6F4E" w:rsidRDefault="00D94E62">
            <w:pPr>
              <w:keepNext/>
              <w:keepLines/>
              <w:spacing w:after="0" w:line="240" w:lineRule="auto"/>
              <w:jc w:val="right"/>
            </w:pPr>
            <w:r>
              <w:rPr>
                <w:sz w:val="18"/>
              </w:rPr>
              <w:t>107,3</w:t>
            </w:r>
          </w:p>
        </w:tc>
      </w:tr>
    </w:tbl>
    <w:p w:rsidR="002A6F4E" w:rsidRDefault="002A6F4E">
      <w:pPr>
        <w:spacing w:after="0"/>
      </w:pPr>
    </w:p>
    <w:p w:rsidR="002A6F4E" w:rsidRDefault="00D94E62" w:rsidP="00D347BA">
      <w:pPr>
        <w:jc w:val="both"/>
      </w:pPr>
      <w:r>
        <w:t>Šifra 322 – Rashodi za materijal i energiju ostvareni su u iznosu od 67.215,03 eura što je za 7,3 % više nego u istom razdoblju prošle godine i to u stavci uredski</w:t>
      </w:r>
      <w:r w:rsidR="00D347BA">
        <w:t xml:space="preserve"> </w:t>
      </w:r>
      <w:r>
        <w:t>materijal.</w:t>
      </w:r>
    </w:p>
    <w:p w:rsidR="002A6F4E" w:rsidRDefault="00D94E62" w:rsidP="00D347BA">
      <w:pPr>
        <w:jc w:val="both"/>
      </w:pPr>
      <w:r>
        <w:t> </w:t>
      </w:r>
    </w:p>
    <w:p w:rsidR="002A6F4E" w:rsidRDefault="002A6F4E"/>
    <w:p w:rsidR="002A6F4E" w:rsidRDefault="00D94E62">
      <w:pPr>
        <w:keepNext/>
        <w:spacing w:line="240" w:lineRule="auto"/>
        <w:jc w:val="center"/>
      </w:pPr>
      <w:r>
        <w:rPr>
          <w:sz w:val="28"/>
        </w:rPr>
        <w:t>Bilješka 20.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2A6F4E">
        <w:trPr>
          <w:cantSplit/>
        </w:trPr>
        <w:tc>
          <w:tcPr>
            <w:tcW w:w="700" w:type="dxa"/>
            <w:shd w:val="clear" w:color="auto" w:fill="E7F0F9"/>
            <w:tcMar>
              <w:top w:w="0" w:type="dxa"/>
              <w:bottom w:w="0" w:type="dxa"/>
            </w:tcMar>
            <w:vAlign w:val="center"/>
          </w:tcPr>
          <w:p w:rsidR="002A6F4E" w:rsidRDefault="00D94E62">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2A6F4E" w:rsidRDefault="00D94E62">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2A6F4E" w:rsidRDefault="00D94E62">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2A6F4E" w:rsidRDefault="00D94E62">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2A6F4E" w:rsidRDefault="00D94E62">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2A6F4E" w:rsidRDefault="00D94E62">
            <w:pPr>
              <w:keepNext/>
              <w:keepLines/>
              <w:spacing w:after="0" w:line="240" w:lineRule="auto"/>
              <w:jc w:val="center"/>
            </w:pPr>
            <w:r>
              <w:rPr>
                <w:b/>
                <w:sz w:val="18"/>
              </w:rPr>
              <w:t>Indeks (%)</w:t>
            </w:r>
          </w:p>
        </w:tc>
      </w:tr>
      <w:tr w:rsidR="002A6F4E">
        <w:trPr>
          <w:cantSplit/>
          <w:trHeight w:val="560"/>
        </w:trPr>
        <w:tc>
          <w:tcPr>
            <w:tcW w:w="700" w:type="dxa"/>
            <w:tcMar>
              <w:top w:w="0" w:type="dxa"/>
              <w:bottom w:w="0" w:type="dxa"/>
            </w:tcMar>
            <w:vAlign w:val="center"/>
          </w:tcPr>
          <w:p w:rsidR="002A6F4E" w:rsidRDefault="00D94E62">
            <w:pPr>
              <w:keepNext/>
              <w:keepLines/>
              <w:spacing w:after="0" w:line="240" w:lineRule="auto"/>
            </w:pPr>
            <w:r>
              <w:rPr>
                <w:sz w:val="18"/>
              </w:rPr>
              <w:t>323</w:t>
            </w:r>
          </w:p>
        </w:tc>
        <w:tc>
          <w:tcPr>
            <w:tcW w:w="3180" w:type="dxa"/>
            <w:tcMar>
              <w:top w:w="0" w:type="dxa"/>
              <w:bottom w:w="0" w:type="dxa"/>
            </w:tcMar>
            <w:vAlign w:val="center"/>
          </w:tcPr>
          <w:p w:rsidR="002A6F4E" w:rsidRDefault="00D94E62">
            <w:pPr>
              <w:keepNext/>
              <w:keepLines/>
              <w:spacing w:after="0" w:line="240" w:lineRule="auto"/>
            </w:pPr>
            <w:r>
              <w:rPr>
                <w:sz w:val="18"/>
              </w:rPr>
              <w:t>Rashodi za usluge (šifre 3231 do 3239)</w:t>
            </w:r>
          </w:p>
        </w:tc>
        <w:tc>
          <w:tcPr>
            <w:tcW w:w="700" w:type="dxa"/>
            <w:tcMar>
              <w:top w:w="0" w:type="dxa"/>
              <w:bottom w:w="0" w:type="dxa"/>
            </w:tcMar>
            <w:vAlign w:val="center"/>
          </w:tcPr>
          <w:p w:rsidR="002A6F4E" w:rsidRDefault="00D94E62">
            <w:pPr>
              <w:keepNext/>
              <w:keepLines/>
              <w:spacing w:after="0" w:line="240" w:lineRule="auto"/>
            </w:pPr>
            <w:r>
              <w:rPr>
                <w:sz w:val="18"/>
              </w:rPr>
              <w:t>323</w:t>
            </w:r>
          </w:p>
        </w:tc>
        <w:tc>
          <w:tcPr>
            <w:tcW w:w="1860" w:type="dxa"/>
            <w:tcMar>
              <w:top w:w="0" w:type="dxa"/>
              <w:bottom w:w="0" w:type="dxa"/>
            </w:tcMar>
            <w:vAlign w:val="center"/>
          </w:tcPr>
          <w:p w:rsidR="002A6F4E" w:rsidRDefault="00D94E62">
            <w:pPr>
              <w:keepNext/>
              <w:keepLines/>
              <w:spacing w:after="0" w:line="240" w:lineRule="auto"/>
              <w:jc w:val="right"/>
            </w:pPr>
            <w:r>
              <w:rPr>
                <w:sz w:val="18"/>
              </w:rPr>
              <w:t>1.004.943,18</w:t>
            </w:r>
          </w:p>
        </w:tc>
        <w:tc>
          <w:tcPr>
            <w:tcW w:w="1860" w:type="dxa"/>
            <w:tcMar>
              <w:top w:w="0" w:type="dxa"/>
              <w:bottom w:w="0" w:type="dxa"/>
            </w:tcMar>
            <w:vAlign w:val="center"/>
          </w:tcPr>
          <w:p w:rsidR="002A6F4E" w:rsidRDefault="00D94E62">
            <w:pPr>
              <w:keepNext/>
              <w:keepLines/>
              <w:spacing w:after="0" w:line="240" w:lineRule="auto"/>
              <w:jc w:val="right"/>
            </w:pPr>
            <w:r>
              <w:rPr>
                <w:sz w:val="18"/>
              </w:rPr>
              <w:t>1.002.334,68</w:t>
            </w:r>
          </w:p>
        </w:tc>
        <w:tc>
          <w:tcPr>
            <w:tcW w:w="700" w:type="dxa"/>
            <w:tcMar>
              <w:top w:w="0" w:type="dxa"/>
              <w:bottom w:w="0" w:type="dxa"/>
            </w:tcMar>
            <w:vAlign w:val="center"/>
          </w:tcPr>
          <w:p w:rsidR="002A6F4E" w:rsidRDefault="00D94E62">
            <w:pPr>
              <w:keepNext/>
              <w:keepLines/>
              <w:spacing w:after="0" w:line="240" w:lineRule="auto"/>
              <w:jc w:val="right"/>
            </w:pPr>
            <w:r>
              <w:rPr>
                <w:sz w:val="18"/>
              </w:rPr>
              <w:t>99,7</w:t>
            </w:r>
          </w:p>
        </w:tc>
      </w:tr>
    </w:tbl>
    <w:p w:rsidR="002A6F4E" w:rsidRDefault="002A6F4E">
      <w:pPr>
        <w:spacing w:after="0"/>
      </w:pPr>
    </w:p>
    <w:p w:rsidR="002A6F4E" w:rsidRDefault="00D94E62" w:rsidP="00D347BA">
      <w:pPr>
        <w:jc w:val="both"/>
      </w:pPr>
      <w:r>
        <w:t xml:space="preserve">Šifra 323 – Rashodi za usluge ostvareni su u razdoblju siječanj-prosinac 2025. godine u visini od 1.002.334,68 eura što je za 0,3 % manje od istih u prošlogodišnjem izvještajnom razdoblju, te se isti rashodi odnose na troškove usluge održavanja koje Općina </w:t>
      </w:r>
      <w:proofErr w:type="spellStart"/>
      <w:r>
        <w:t>Fužine</w:t>
      </w:r>
      <w:proofErr w:type="spellEnd"/>
      <w:r>
        <w:t xml:space="preserve"> ima kroz svoje Komunalno-trgovačko društvo </w:t>
      </w:r>
      <w:proofErr w:type="spellStart"/>
      <w:r>
        <w:t>Fužine</w:t>
      </w:r>
      <w:proofErr w:type="spellEnd"/>
      <w:r>
        <w:t xml:space="preserve"> d.o.o.</w:t>
      </w:r>
    </w:p>
    <w:p w:rsidR="002A6F4E" w:rsidRDefault="002A6F4E"/>
    <w:p w:rsidR="002A6F4E" w:rsidRDefault="00D94E62">
      <w:pPr>
        <w:keepNext/>
        <w:spacing w:line="240" w:lineRule="auto"/>
        <w:jc w:val="center"/>
      </w:pPr>
      <w:r>
        <w:rPr>
          <w:sz w:val="28"/>
        </w:rPr>
        <w:t>Bilješka 21.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2A6F4E">
        <w:trPr>
          <w:cantSplit/>
        </w:trPr>
        <w:tc>
          <w:tcPr>
            <w:tcW w:w="700" w:type="dxa"/>
            <w:shd w:val="clear" w:color="auto" w:fill="E7F0F9"/>
            <w:tcMar>
              <w:top w:w="0" w:type="dxa"/>
              <w:bottom w:w="0" w:type="dxa"/>
            </w:tcMar>
            <w:vAlign w:val="center"/>
          </w:tcPr>
          <w:p w:rsidR="002A6F4E" w:rsidRDefault="00D94E62">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2A6F4E" w:rsidRDefault="00D94E62">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2A6F4E" w:rsidRDefault="00D94E62">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2A6F4E" w:rsidRDefault="00D94E62">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2A6F4E" w:rsidRDefault="00D94E62">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2A6F4E" w:rsidRDefault="00D94E62">
            <w:pPr>
              <w:keepNext/>
              <w:keepLines/>
              <w:spacing w:after="0" w:line="240" w:lineRule="auto"/>
              <w:jc w:val="center"/>
            </w:pPr>
            <w:r>
              <w:rPr>
                <w:b/>
                <w:sz w:val="18"/>
              </w:rPr>
              <w:t>Indeks (%)</w:t>
            </w:r>
          </w:p>
        </w:tc>
      </w:tr>
      <w:tr w:rsidR="002A6F4E">
        <w:trPr>
          <w:cantSplit/>
          <w:trHeight w:val="560"/>
        </w:trPr>
        <w:tc>
          <w:tcPr>
            <w:tcW w:w="700" w:type="dxa"/>
            <w:tcMar>
              <w:top w:w="0" w:type="dxa"/>
              <w:bottom w:w="0" w:type="dxa"/>
            </w:tcMar>
            <w:vAlign w:val="center"/>
          </w:tcPr>
          <w:p w:rsidR="002A6F4E" w:rsidRDefault="00D94E62">
            <w:pPr>
              <w:keepNext/>
              <w:keepLines/>
              <w:spacing w:after="0" w:line="240" w:lineRule="auto"/>
            </w:pPr>
            <w:r>
              <w:rPr>
                <w:sz w:val="18"/>
              </w:rPr>
              <w:t>329</w:t>
            </w:r>
          </w:p>
        </w:tc>
        <w:tc>
          <w:tcPr>
            <w:tcW w:w="3180" w:type="dxa"/>
            <w:tcMar>
              <w:top w:w="0" w:type="dxa"/>
              <w:bottom w:w="0" w:type="dxa"/>
            </w:tcMar>
            <w:vAlign w:val="center"/>
          </w:tcPr>
          <w:p w:rsidR="002A6F4E" w:rsidRDefault="00D94E62">
            <w:pPr>
              <w:keepNext/>
              <w:keepLines/>
              <w:spacing w:after="0" w:line="240" w:lineRule="auto"/>
            </w:pPr>
            <w:r>
              <w:rPr>
                <w:sz w:val="18"/>
              </w:rPr>
              <w:t>Ostali nespomenuti rashodi poslovanja (šifre 3291 do 3299)</w:t>
            </w:r>
          </w:p>
        </w:tc>
        <w:tc>
          <w:tcPr>
            <w:tcW w:w="700" w:type="dxa"/>
            <w:tcMar>
              <w:top w:w="0" w:type="dxa"/>
              <w:bottom w:w="0" w:type="dxa"/>
            </w:tcMar>
            <w:vAlign w:val="center"/>
          </w:tcPr>
          <w:p w:rsidR="002A6F4E" w:rsidRDefault="00D94E62">
            <w:pPr>
              <w:keepNext/>
              <w:keepLines/>
              <w:spacing w:after="0" w:line="240" w:lineRule="auto"/>
            </w:pPr>
            <w:r>
              <w:rPr>
                <w:sz w:val="18"/>
              </w:rPr>
              <w:t>329</w:t>
            </w:r>
          </w:p>
        </w:tc>
        <w:tc>
          <w:tcPr>
            <w:tcW w:w="1860" w:type="dxa"/>
            <w:tcMar>
              <w:top w:w="0" w:type="dxa"/>
              <w:bottom w:w="0" w:type="dxa"/>
            </w:tcMar>
            <w:vAlign w:val="center"/>
          </w:tcPr>
          <w:p w:rsidR="002A6F4E" w:rsidRDefault="00D94E62">
            <w:pPr>
              <w:keepNext/>
              <w:keepLines/>
              <w:spacing w:after="0" w:line="240" w:lineRule="auto"/>
              <w:jc w:val="right"/>
            </w:pPr>
            <w:r>
              <w:rPr>
                <w:sz w:val="18"/>
              </w:rPr>
              <w:t>47.030,92</w:t>
            </w:r>
          </w:p>
        </w:tc>
        <w:tc>
          <w:tcPr>
            <w:tcW w:w="1860" w:type="dxa"/>
            <w:tcMar>
              <w:top w:w="0" w:type="dxa"/>
              <w:bottom w:w="0" w:type="dxa"/>
            </w:tcMar>
            <w:vAlign w:val="center"/>
          </w:tcPr>
          <w:p w:rsidR="002A6F4E" w:rsidRDefault="00D94E62">
            <w:pPr>
              <w:keepNext/>
              <w:keepLines/>
              <w:spacing w:after="0" w:line="240" w:lineRule="auto"/>
              <w:jc w:val="right"/>
            </w:pPr>
            <w:r>
              <w:rPr>
                <w:sz w:val="18"/>
              </w:rPr>
              <w:t>181.279,47</w:t>
            </w:r>
          </w:p>
        </w:tc>
        <w:tc>
          <w:tcPr>
            <w:tcW w:w="700" w:type="dxa"/>
            <w:tcMar>
              <w:top w:w="0" w:type="dxa"/>
              <w:bottom w:w="0" w:type="dxa"/>
            </w:tcMar>
            <w:vAlign w:val="center"/>
          </w:tcPr>
          <w:p w:rsidR="002A6F4E" w:rsidRDefault="00D94E62">
            <w:pPr>
              <w:keepNext/>
              <w:keepLines/>
              <w:spacing w:after="0" w:line="240" w:lineRule="auto"/>
              <w:jc w:val="right"/>
            </w:pPr>
            <w:r>
              <w:rPr>
                <w:sz w:val="18"/>
              </w:rPr>
              <w:t>385,4</w:t>
            </w:r>
          </w:p>
        </w:tc>
      </w:tr>
    </w:tbl>
    <w:p w:rsidR="002A6F4E" w:rsidRDefault="002A6F4E">
      <w:pPr>
        <w:spacing w:after="0"/>
      </w:pPr>
    </w:p>
    <w:p w:rsidR="002A6F4E" w:rsidRDefault="00D94E62">
      <w:r>
        <w:lastRenderedPageBreak/>
        <w:t>Šifra 329 – Ostali nespomenuti rashodi poslovanja ostvareni su u iznosu od 181.279,47 eura što je za 285,4 % više od istih 2024. godine.</w:t>
      </w:r>
    </w:p>
    <w:p w:rsidR="002A6F4E" w:rsidRDefault="00D94E62">
      <w:r>
        <w:t>Najveće povećanje bilježe ostali nespomenuti rashodi poslovanja sa 703,0 % više u odnosu na prošlu godinu, a koji obuhvaćaju troškove lokalnih izbora čega u 2024. godini nije bilo kao i evidentiranja povrata poreza na dohodak po godišnjoj poreznoj prijavi za 2024. godinu.</w:t>
      </w:r>
    </w:p>
    <w:p w:rsidR="002A6F4E" w:rsidRDefault="002A6F4E"/>
    <w:p w:rsidR="002A6F4E" w:rsidRDefault="00D94E62">
      <w:pPr>
        <w:keepNext/>
        <w:spacing w:line="240" w:lineRule="auto"/>
        <w:jc w:val="center"/>
      </w:pPr>
      <w:r>
        <w:rPr>
          <w:sz w:val="28"/>
        </w:rPr>
        <w:t>Bilješka 22.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2A6F4E">
        <w:trPr>
          <w:cantSplit/>
        </w:trPr>
        <w:tc>
          <w:tcPr>
            <w:tcW w:w="700" w:type="dxa"/>
            <w:shd w:val="clear" w:color="auto" w:fill="E7F0F9"/>
            <w:tcMar>
              <w:top w:w="0" w:type="dxa"/>
              <w:bottom w:w="0" w:type="dxa"/>
            </w:tcMar>
            <w:vAlign w:val="center"/>
          </w:tcPr>
          <w:p w:rsidR="002A6F4E" w:rsidRDefault="00D94E62">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2A6F4E" w:rsidRDefault="00D94E62">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2A6F4E" w:rsidRDefault="00D94E62">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2A6F4E" w:rsidRDefault="00D94E62">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2A6F4E" w:rsidRDefault="00D94E62">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2A6F4E" w:rsidRDefault="00D94E62">
            <w:pPr>
              <w:keepNext/>
              <w:keepLines/>
              <w:spacing w:after="0" w:line="240" w:lineRule="auto"/>
              <w:jc w:val="center"/>
            </w:pPr>
            <w:r>
              <w:rPr>
                <w:b/>
                <w:sz w:val="18"/>
              </w:rPr>
              <w:t>Indeks (%)</w:t>
            </w:r>
          </w:p>
        </w:tc>
      </w:tr>
      <w:tr w:rsidR="002A6F4E">
        <w:trPr>
          <w:cantSplit/>
          <w:trHeight w:val="560"/>
        </w:trPr>
        <w:tc>
          <w:tcPr>
            <w:tcW w:w="700" w:type="dxa"/>
            <w:tcMar>
              <w:top w:w="0" w:type="dxa"/>
              <w:bottom w:w="0" w:type="dxa"/>
            </w:tcMar>
            <w:vAlign w:val="center"/>
          </w:tcPr>
          <w:p w:rsidR="002A6F4E" w:rsidRDefault="00D94E62">
            <w:pPr>
              <w:keepNext/>
              <w:keepLines/>
              <w:spacing w:after="0" w:line="240" w:lineRule="auto"/>
            </w:pPr>
            <w:r>
              <w:rPr>
                <w:sz w:val="18"/>
              </w:rPr>
              <w:t>342</w:t>
            </w:r>
          </w:p>
        </w:tc>
        <w:tc>
          <w:tcPr>
            <w:tcW w:w="3180" w:type="dxa"/>
            <w:tcMar>
              <w:top w:w="0" w:type="dxa"/>
              <w:bottom w:w="0" w:type="dxa"/>
            </w:tcMar>
            <w:vAlign w:val="center"/>
          </w:tcPr>
          <w:p w:rsidR="002A6F4E" w:rsidRDefault="00D94E62">
            <w:pPr>
              <w:keepNext/>
              <w:keepLines/>
              <w:spacing w:after="0" w:line="240" w:lineRule="auto"/>
            </w:pPr>
            <w:r>
              <w:rPr>
                <w:sz w:val="18"/>
              </w:rPr>
              <w:t>Kamate za primljene kredite i zajmove (šifre 3421 do 3428)</w:t>
            </w:r>
          </w:p>
        </w:tc>
        <w:tc>
          <w:tcPr>
            <w:tcW w:w="700" w:type="dxa"/>
            <w:tcMar>
              <w:top w:w="0" w:type="dxa"/>
              <w:bottom w:w="0" w:type="dxa"/>
            </w:tcMar>
            <w:vAlign w:val="center"/>
          </w:tcPr>
          <w:p w:rsidR="002A6F4E" w:rsidRDefault="00D94E62">
            <w:pPr>
              <w:keepNext/>
              <w:keepLines/>
              <w:spacing w:after="0" w:line="240" w:lineRule="auto"/>
            </w:pPr>
            <w:r>
              <w:rPr>
                <w:sz w:val="18"/>
              </w:rPr>
              <w:t>342</w:t>
            </w:r>
          </w:p>
        </w:tc>
        <w:tc>
          <w:tcPr>
            <w:tcW w:w="1860" w:type="dxa"/>
            <w:tcMar>
              <w:top w:w="0" w:type="dxa"/>
              <w:bottom w:w="0" w:type="dxa"/>
            </w:tcMar>
            <w:vAlign w:val="center"/>
          </w:tcPr>
          <w:p w:rsidR="002A6F4E" w:rsidRDefault="00D94E62">
            <w:pPr>
              <w:keepNext/>
              <w:keepLines/>
              <w:spacing w:after="0" w:line="240" w:lineRule="auto"/>
              <w:jc w:val="right"/>
            </w:pPr>
            <w:r>
              <w:rPr>
                <w:sz w:val="18"/>
              </w:rPr>
              <w:t>2.891,01</w:t>
            </w:r>
          </w:p>
        </w:tc>
        <w:tc>
          <w:tcPr>
            <w:tcW w:w="1860" w:type="dxa"/>
            <w:tcMar>
              <w:top w:w="0" w:type="dxa"/>
              <w:bottom w:w="0" w:type="dxa"/>
            </w:tcMar>
            <w:vAlign w:val="center"/>
          </w:tcPr>
          <w:p w:rsidR="002A6F4E" w:rsidRDefault="00D94E62">
            <w:pPr>
              <w:keepNext/>
              <w:keepLines/>
              <w:spacing w:after="0" w:line="240" w:lineRule="auto"/>
              <w:jc w:val="right"/>
            </w:pPr>
            <w:r>
              <w:rPr>
                <w:sz w:val="18"/>
              </w:rPr>
              <w:t>4.206,26</w:t>
            </w:r>
          </w:p>
        </w:tc>
        <w:tc>
          <w:tcPr>
            <w:tcW w:w="700" w:type="dxa"/>
            <w:tcMar>
              <w:top w:w="0" w:type="dxa"/>
              <w:bottom w:w="0" w:type="dxa"/>
            </w:tcMar>
            <w:vAlign w:val="center"/>
          </w:tcPr>
          <w:p w:rsidR="002A6F4E" w:rsidRDefault="00D94E62">
            <w:pPr>
              <w:keepNext/>
              <w:keepLines/>
              <w:spacing w:after="0" w:line="240" w:lineRule="auto"/>
              <w:jc w:val="right"/>
            </w:pPr>
            <w:r>
              <w:rPr>
                <w:sz w:val="18"/>
              </w:rPr>
              <w:t>145,5</w:t>
            </w:r>
          </w:p>
        </w:tc>
      </w:tr>
    </w:tbl>
    <w:p w:rsidR="002A6F4E" w:rsidRDefault="002A6F4E">
      <w:pPr>
        <w:spacing w:after="0"/>
      </w:pPr>
    </w:p>
    <w:p w:rsidR="002A6F4E" w:rsidRDefault="00D94E62" w:rsidP="00D347BA">
      <w:pPr>
        <w:jc w:val="both"/>
      </w:pPr>
      <w:r>
        <w:t>Šifra 342 – Kamate za primljene kredite i zajmove ostvarene su u iznosu od 4.206,26 eura što je za 45,5 % više nego u 2024. godine. Radi se o otplati kamata koji su se realizirali krajem 2024. godine.</w:t>
      </w:r>
    </w:p>
    <w:p w:rsidR="002A6F4E" w:rsidRDefault="00D94E62">
      <w:r>
        <w:t> </w:t>
      </w:r>
    </w:p>
    <w:p w:rsidR="002A6F4E" w:rsidRDefault="002A6F4E"/>
    <w:p w:rsidR="002A6F4E" w:rsidRDefault="00D94E62">
      <w:pPr>
        <w:keepNext/>
        <w:spacing w:line="240" w:lineRule="auto"/>
        <w:jc w:val="center"/>
      </w:pPr>
      <w:r>
        <w:rPr>
          <w:sz w:val="28"/>
        </w:rPr>
        <w:t>Bilješka 23.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2A6F4E">
        <w:trPr>
          <w:cantSplit/>
        </w:trPr>
        <w:tc>
          <w:tcPr>
            <w:tcW w:w="700" w:type="dxa"/>
            <w:shd w:val="clear" w:color="auto" w:fill="E7F0F9"/>
            <w:tcMar>
              <w:top w:w="0" w:type="dxa"/>
              <w:bottom w:w="0" w:type="dxa"/>
            </w:tcMar>
            <w:vAlign w:val="center"/>
          </w:tcPr>
          <w:p w:rsidR="002A6F4E" w:rsidRDefault="00D94E62">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2A6F4E" w:rsidRDefault="00D94E62">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2A6F4E" w:rsidRDefault="00D94E62">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2A6F4E" w:rsidRDefault="00D94E62">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2A6F4E" w:rsidRDefault="00D94E62">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2A6F4E" w:rsidRDefault="00D94E62">
            <w:pPr>
              <w:keepNext/>
              <w:keepLines/>
              <w:spacing w:after="0" w:line="240" w:lineRule="auto"/>
              <w:jc w:val="center"/>
            </w:pPr>
            <w:r>
              <w:rPr>
                <w:b/>
                <w:sz w:val="18"/>
              </w:rPr>
              <w:t>Indeks (%)</w:t>
            </w:r>
          </w:p>
        </w:tc>
      </w:tr>
      <w:tr w:rsidR="002A6F4E">
        <w:trPr>
          <w:cantSplit/>
          <w:trHeight w:val="560"/>
        </w:trPr>
        <w:tc>
          <w:tcPr>
            <w:tcW w:w="700" w:type="dxa"/>
            <w:tcMar>
              <w:top w:w="0" w:type="dxa"/>
              <w:bottom w:w="0" w:type="dxa"/>
            </w:tcMar>
            <w:vAlign w:val="center"/>
          </w:tcPr>
          <w:p w:rsidR="002A6F4E" w:rsidRDefault="00D94E62">
            <w:pPr>
              <w:keepNext/>
              <w:keepLines/>
              <w:spacing w:after="0" w:line="240" w:lineRule="auto"/>
            </w:pPr>
            <w:r>
              <w:rPr>
                <w:sz w:val="18"/>
              </w:rPr>
              <w:t>367</w:t>
            </w:r>
          </w:p>
        </w:tc>
        <w:tc>
          <w:tcPr>
            <w:tcW w:w="3180" w:type="dxa"/>
            <w:tcMar>
              <w:top w:w="0" w:type="dxa"/>
              <w:bottom w:w="0" w:type="dxa"/>
            </w:tcMar>
            <w:vAlign w:val="center"/>
          </w:tcPr>
          <w:p w:rsidR="002A6F4E" w:rsidRDefault="00D94E62">
            <w:pPr>
              <w:keepNext/>
              <w:keepLines/>
              <w:spacing w:after="0" w:line="240" w:lineRule="auto"/>
            </w:pPr>
            <w:r>
              <w:rPr>
                <w:sz w:val="18"/>
              </w:rPr>
              <w:t>Prijenosi proračunskim korisnicima iz nadležnog proračuna za financiranje redovne djelatnosti (šifre 3672 do 3674)</w:t>
            </w:r>
          </w:p>
        </w:tc>
        <w:tc>
          <w:tcPr>
            <w:tcW w:w="700" w:type="dxa"/>
            <w:tcMar>
              <w:top w:w="0" w:type="dxa"/>
              <w:bottom w:w="0" w:type="dxa"/>
            </w:tcMar>
            <w:vAlign w:val="center"/>
          </w:tcPr>
          <w:p w:rsidR="002A6F4E" w:rsidRDefault="00D94E62">
            <w:pPr>
              <w:keepNext/>
              <w:keepLines/>
              <w:spacing w:after="0" w:line="240" w:lineRule="auto"/>
            </w:pPr>
            <w:r>
              <w:rPr>
                <w:sz w:val="18"/>
              </w:rPr>
              <w:t>367</w:t>
            </w:r>
          </w:p>
        </w:tc>
        <w:tc>
          <w:tcPr>
            <w:tcW w:w="1860" w:type="dxa"/>
            <w:tcMar>
              <w:top w:w="0" w:type="dxa"/>
              <w:bottom w:w="0" w:type="dxa"/>
            </w:tcMar>
            <w:vAlign w:val="center"/>
          </w:tcPr>
          <w:p w:rsidR="002A6F4E" w:rsidRDefault="00D94E62">
            <w:pPr>
              <w:keepNext/>
              <w:keepLines/>
              <w:spacing w:after="0" w:line="240" w:lineRule="auto"/>
              <w:jc w:val="right"/>
            </w:pPr>
            <w:r>
              <w:rPr>
                <w:sz w:val="18"/>
              </w:rPr>
              <w:t>311.823,28</w:t>
            </w:r>
          </w:p>
        </w:tc>
        <w:tc>
          <w:tcPr>
            <w:tcW w:w="1860" w:type="dxa"/>
            <w:tcMar>
              <w:top w:w="0" w:type="dxa"/>
              <w:bottom w:w="0" w:type="dxa"/>
            </w:tcMar>
            <w:vAlign w:val="center"/>
          </w:tcPr>
          <w:p w:rsidR="002A6F4E" w:rsidRDefault="00D94E62">
            <w:pPr>
              <w:keepNext/>
              <w:keepLines/>
              <w:spacing w:after="0" w:line="240" w:lineRule="auto"/>
              <w:jc w:val="right"/>
            </w:pPr>
            <w:r>
              <w:rPr>
                <w:sz w:val="18"/>
              </w:rPr>
              <w:t>331.048,27</w:t>
            </w:r>
          </w:p>
        </w:tc>
        <w:tc>
          <w:tcPr>
            <w:tcW w:w="700" w:type="dxa"/>
            <w:tcMar>
              <w:top w:w="0" w:type="dxa"/>
              <w:bottom w:w="0" w:type="dxa"/>
            </w:tcMar>
            <w:vAlign w:val="center"/>
          </w:tcPr>
          <w:p w:rsidR="002A6F4E" w:rsidRDefault="00D94E62">
            <w:pPr>
              <w:keepNext/>
              <w:keepLines/>
              <w:spacing w:after="0" w:line="240" w:lineRule="auto"/>
              <w:jc w:val="right"/>
            </w:pPr>
            <w:r>
              <w:rPr>
                <w:sz w:val="18"/>
              </w:rPr>
              <w:t>106,2</w:t>
            </w:r>
          </w:p>
        </w:tc>
      </w:tr>
    </w:tbl>
    <w:p w:rsidR="002A6F4E" w:rsidRDefault="002A6F4E">
      <w:pPr>
        <w:spacing w:after="0"/>
      </w:pPr>
    </w:p>
    <w:p w:rsidR="002A6F4E" w:rsidRDefault="00D94E62" w:rsidP="00D347BA">
      <w:pPr>
        <w:jc w:val="both"/>
      </w:pPr>
      <w:r>
        <w:t>Šifra 367 – Prijenosi proračunskim korisnicima iz nadležnog proračuna za financiranje redovne djelatnosti realizirani su u iznosu od 331.048,27 eura te se isti odnosi na proračunskog korisnika DV Snježna pahulja.</w:t>
      </w:r>
    </w:p>
    <w:p w:rsidR="002A6F4E" w:rsidRDefault="002A6F4E"/>
    <w:p w:rsidR="002A6F4E" w:rsidRDefault="00D94E62">
      <w:pPr>
        <w:keepNext/>
        <w:spacing w:line="240" w:lineRule="auto"/>
        <w:jc w:val="center"/>
      </w:pPr>
      <w:r>
        <w:rPr>
          <w:sz w:val="28"/>
        </w:rPr>
        <w:t>Bilješka 24.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2A6F4E">
        <w:trPr>
          <w:cantSplit/>
        </w:trPr>
        <w:tc>
          <w:tcPr>
            <w:tcW w:w="700" w:type="dxa"/>
            <w:shd w:val="clear" w:color="auto" w:fill="E7F0F9"/>
            <w:tcMar>
              <w:top w:w="0" w:type="dxa"/>
              <w:bottom w:w="0" w:type="dxa"/>
            </w:tcMar>
            <w:vAlign w:val="center"/>
          </w:tcPr>
          <w:p w:rsidR="002A6F4E" w:rsidRDefault="00D94E62">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2A6F4E" w:rsidRDefault="00D94E62">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2A6F4E" w:rsidRDefault="00D94E62">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2A6F4E" w:rsidRDefault="00D94E62">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2A6F4E" w:rsidRDefault="00D94E62">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2A6F4E" w:rsidRDefault="00D94E62">
            <w:pPr>
              <w:keepNext/>
              <w:keepLines/>
              <w:spacing w:after="0" w:line="240" w:lineRule="auto"/>
              <w:jc w:val="center"/>
            </w:pPr>
            <w:r>
              <w:rPr>
                <w:b/>
                <w:sz w:val="18"/>
              </w:rPr>
              <w:t>Indeks (%)</w:t>
            </w:r>
          </w:p>
        </w:tc>
      </w:tr>
      <w:tr w:rsidR="002A6F4E">
        <w:trPr>
          <w:cantSplit/>
          <w:trHeight w:val="560"/>
        </w:trPr>
        <w:tc>
          <w:tcPr>
            <w:tcW w:w="700" w:type="dxa"/>
            <w:tcMar>
              <w:top w:w="0" w:type="dxa"/>
              <w:bottom w:w="0" w:type="dxa"/>
            </w:tcMar>
            <w:vAlign w:val="center"/>
          </w:tcPr>
          <w:p w:rsidR="002A6F4E" w:rsidRDefault="00D94E62">
            <w:pPr>
              <w:keepNext/>
              <w:keepLines/>
              <w:spacing w:after="0" w:line="240" w:lineRule="auto"/>
            </w:pPr>
            <w:r>
              <w:rPr>
                <w:sz w:val="18"/>
              </w:rPr>
              <w:t>372</w:t>
            </w:r>
          </w:p>
        </w:tc>
        <w:tc>
          <w:tcPr>
            <w:tcW w:w="3180" w:type="dxa"/>
            <w:tcMar>
              <w:top w:w="0" w:type="dxa"/>
              <w:bottom w:w="0" w:type="dxa"/>
            </w:tcMar>
            <w:vAlign w:val="center"/>
          </w:tcPr>
          <w:p w:rsidR="002A6F4E" w:rsidRDefault="00D94E62">
            <w:pPr>
              <w:keepNext/>
              <w:keepLines/>
              <w:spacing w:after="0" w:line="240" w:lineRule="auto"/>
            </w:pPr>
            <w:r>
              <w:rPr>
                <w:sz w:val="18"/>
              </w:rPr>
              <w:t>Ostale naknade građanima i kućanstvima iz proračuna (šifre 3721 do 3723)</w:t>
            </w:r>
          </w:p>
        </w:tc>
        <w:tc>
          <w:tcPr>
            <w:tcW w:w="700" w:type="dxa"/>
            <w:tcMar>
              <w:top w:w="0" w:type="dxa"/>
              <w:bottom w:w="0" w:type="dxa"/>
            </w:tcMar>
            <w:vAlign w:val="center"/>
          </w:tcPr>
          <w:p w:rsidR="002A6F4E" w:rsidRDefault="00D94E62">
            <w:pPr>
              <w:keepNext/>
              <w:keepLines/>
              <w:spacing w:after="0" w:line="240" w:lineRule="auto"/>
            </w:pPr>
            <w:r>
              <w:rPr>
                <w:sz w:val="18"/>
              </w:rPr>
              <w:t>372</w:t>
            </w:r>
          </w:p>
        </w:tc>
        <w:tc>
          <w:tcPr>
            <w:tcW w:w="1860" w:type="dxa"/>
            <w:tcMar>
              <w:top w:w="0" w:type="dxa"/>
              <w:bottom w:w="0" w:type="dxa"/>
            </w:tcMar>
            <w:vAlign w:val="center"/>
          </w:tcPr>
          <w:p w:rsidR="002A6F4E" w:rsidRDefault="00D94E62">
            <w:pPr>
              <w:keepNext/>
              <w:keepLines/>
              <w:spacing w:after="0" w:line="240" w:lineRule="auto"/>
              <w:jc w:val="right"/>
            </w:pPr>
            <w:r>
              <w:rPr>
                <w:sz w:val="18"/>
              </w:rPr>
              <w:t>49.036,40</w:t>
            </w:r>
          </w:p>
        </w:tc>
        <w:tc>
          <w:tcPr>
            <w:tcW w:w="1860" w:type="dxa"/>
            <w:tcMar>
              <w:top w:w="0" w:type="dxa"/>
              <w:bottom w:w="0" w:type="dxa"/>
            </w:tcMar>
            <w:vAlign w:val="center"/>
          </w:tcPr>
          <w:p w:rsidR="002A6F4E" w:rsidRDefault="00D94E62">
            <w:pPr>
              <w:keepNext/>
              <w:keepLines/>
              <w:spacing w:after="0" w:line="240" w:lineRule="auto"/>
              <w:jc w:val="right"/>
            </w:pPr>
            <w:r>
              <w:rPr>
                <w:sz w:val="18"/>
              </w:rPr>
              <w:t>60.248,97</w:t>
            </w:r>
          </w:p>
        </w:tc>
        <w:tc>
          <w:tcPr>
            <w:tcW w:w="700" w:type="dxa"/>
            <w:tcMar>
              <w:top w:w="0" w:type="dxa"/>
              <w:bottom w:w="0" w:type="dxa"/>
            </w:tcMar>
            <w:vAlign w:val="center"/>
          </w:tcPr>
          <w:p w:rsidR="002A6F4E" w:rsidRDefault="00D94E62">
            <w:pPr>
              <w:keepNext/>
              <w:keepLines/>
              <w:spacing w:after="0" w:line="240" w:lineRule="auto"/>
              <w:jc w:val="right"/>
            </w:pPr>
            <w:r>
              <w:rPr>
                <w:sz w:val="18"/>
              </w:rPr>
              <w:t>122,9</w:t>
            </w:r>
          </w:p>
        </w:tc>
      </w:tr>
    </w:tbl>
    <w:p w:rsidR="002A6F4E" w:rsidRDefault="002A6F4E">
      <w:pPr>
        <w:spacing w:after="0"/>
      </w:pPr>
    </w:p>
    <w:p w:rsidR="002A6F4E" w:rsidRDefault="00D94E62" w:rsidP="00D347BA">
      <w:pPr>
        <w:jc w:val="both"/>
      </w:pPr>
      <w:r>
        <w:t>Šifra 372 – Ostale naknade građanima i kućanstvima iz proračuna ostvarene su u iznosu od 60.248,97 eura što je za 22,9 % više nego 2024. godine. Sredstva su veća u odnosu na 2024. godinu obzirom da su se u 2025. godini isplaćivali bonovi umirovljenicima za Uskršnje i Novogodišnje blagdane.</w:t>
      </w:r>
    </w:p>
    <w:p w:rsidR="002A6F4E" w:rsidRDefault="002A6F4E" w:rsidP="00D347BA">
      <w:pPr>
        <w:jc w:val="both"/>
      </w:pPr>
    </w:p>
    <w:p w:rsidR="002A6F4E" w:rsidRDefault="00D94E62">
      <w:pPr>
        <w:keepNext/>
        <w:spacing w:line="240" w:lineRule="auto"/>
        <w:jc w:val="center"/>
      </w:pPr>
      <w:r>
        <w:rPr>
          <w:sz w:val="28"/>
        </w:rPr>
        <w:lastRenderedPageBreak/>
        <w:t>Bilješka 25.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2A6F4E">
        <w:trPr>
          <w:cantSplit/>
        </w:trPr>
        <w:tc>
          <w:tcPr>
            <w:tcW w:w="700" w:type="dxa"/>
            <w:shd w:val="clear" w:color="auto" w:fill="E7F0F9"/>
            <w:tcMar>
              <w:top w:w="0" w:type="dxa"/>
              <w:bottom w:w="0" w:type="dxa"/>
            </w:tcMar>
            <w:vAlign w:val="center"/>
          </w:tcPr>
          <w:p w:rsidR="002A6F4E" w:rsidRDefault="00D94E62">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2A6F4E" w:rsidRDefault="00D94E62">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2A6F4E" w:rsidRDefault="00D94E62">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2A6F4E" w:rsidRDefault="00D94E62">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2A6F4E" w:rsidRDefault="00D94E62">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2A6F4E" w:rsidRDefault="00D94E62">
            <w:pPr>
              <w:keepNext/>
              <w:keepLines/>
              <w:spacing w:after="0" w:line="240" w:lineRule="auto"/>
              <w:jc w:val="center"/>
            </w:pPr>
            <w:r>
              <w:rPr>
                <w:b/>
                <w:sz w:val="18"/>
              </w:rPr>
              <w:t>Indeks (%)</w:t>
            </w:r>
          </w:p>
        </w:tc>
      </w:tr>
      <w:tr w:rsidR="002A6F4E">
        <w:trPr>
          <w:cantSplit/>
          <w:trHeight w:val="560"/>
        </w:trPr>
        <w:tc>
          <w:tcPr>
            <w:tcW w:w="700" w:type="dxa"/>
            <w:tcMar>
              <w:top w:w="0" w:type="dxa"/>
              <w:bottom w:w="0" w:type="dxa"/>
            </w:tcMar>
            <w:vAlign w:val="center"/>
          </w:tcPr>
          <w:p w:rsidR="002A6F4E" w:rsidRDefault="00D94E62">
            <w:pPr>
              <w:keepNext/>
              <w:keepLines/>
              <w:spacing w:after="0" w:line="240" w:lineRule="auto"/>
            </w:pPr>
            <w:r>
              <w:rPr>
                <w:sz w:val="18"/>
              </w:rPr>
              <w:t>381</w:t>
            </w:r>
          </w:p>
        </w:tc>
        <w:tc>
          <w:tcPr>
            <w:tcW w:w="3180" w:type="dxa"/>
            <w:tcMar>
              <w:top w:w="0" w:type="dxa"/>
              <w:bottom w:w="0" w:type="dxa"/>
            </w:tcMar>
            <w:vAlign w:val="center"/>
          </w:tcPr>
          <w:p w:rsidR="002A6F4E" w:rsidRDefault="00D94E62">
            <w:pPr>
              <w:keepNext/>
              <w:keepLines/>
              <w:spacing w:after="0" w:line="240" w:lineRule="auto"/>
            </w:pPr>
            <w:r>
              <w:rPr>
                <w:sz w:val="18"/>
              </w:rPr>
              <w:t>Tekuće donacije (šifre 3811 do 3813)</w:t>
            </w:r>
          </w:p>
        </w:tc>
        <w:tc>
          <w:tcPr>
            <w:tcW w:w="700" w:type="dxa"/>
            <w:tcMar>
              <w:top w:w="0" w:type="dxa"/>
              <w:bottom w:w="0" w:type="dxa"/>
            </w:tcMar>
            <w:vAlign w:val="center"/>
          </w:tcPr>
          <w:p w:rsidR="002A6F4E" w:rsidRDefault="00D94E62">
            <w:pPr>
              <w:keepNext/>
              <w:keepLines/>
              <w:spacing w:after="0" w:line="240" w:lineRule="auto"/>
            </w:pPr>
            <w:r>
              <w:rPr>
                <w:sz w:val="18"/>
              </w:rPr>
              <w:t>381</w:t>
            </w:r>
          </w:p>
        </w:tc>
        <w:tc>
          <w:tcPr>
            <w:tcW w:w="1860" w:type="dxa"/>
            <w:tcMar>
              <w:top w:w="0" w:type="dxa"/>
              <w:bottom w:w="0" w:type="dxa"/>
            </w:tcMar>
            <w:vAlign w:val="center"/>
          </w:tcPr>
          <w:p w:rsidR="002A6F4E" w:rsidRDefault="00D94E62">
            <w:pPr>
              <w:keepNext/>
              <w:keepLines/>
              <w:spacing w:after="0" w:line="240" w:lineRule="auto"/>
              <w:jc w:val="right"/>
            </w:pPr>
            <w:r>
              <w:rPr>
                <w:sz w:val="18"/>
              </w:rPr>
              <w:t>182.631,59</w:t>
            </w:r>
          </w:p>
        </w:tc>
        <w:tc>
          <w:tcPr>
            <w:tcW w:w="1860" w:type="dxa"/>
            <w:tcMar>
              <w:top w:w="0" w:type="dxa"/>
              <w:bottom w:w="0" w:type="dxa"/>
            </w:tcMar>
            <w:vAlign w:val="center"/>
          </w:tcPr>
          <w:p w:rsidR="002A6F4E" w:rsidRDefault="00D94E62">
            <w:pPr>
              <w:keepNext/>
              <w:keepLines/>
              <w:spacing w:after="0" w:line="240" w:lineRule="auto"/>
              <w:jc w:val="right"/>
            </w:pPr>
            <w:r>
              <w:rPr>
                <w:sz w:val="18"/>
              </w:rPr>
              <w:t>207.962,92</w:t>
            </w:r>
          </w:p>
        </w:tc>
        <w:tc>
          <w:tcPr>
            <w:tcW w:w="700" w:type="dxa"/>
            <w:tcMar>
              <w:top w:w="0" w:type="dxa"/>
              <w:bottom w:w="0" w:type="dxa"/>
            </w:tcMar>
            <w:vAlign w:val="center"/>
          </w:tcPr>
          <w:p w:rsidR="002A6F4E" w:rsidRDefault="00D94E62">
            <w:pPr>
              <w:keepNext/>
              <w:keepLines/>
              <w:spacing w:after="0" w:line="240" w:lineRule="auto"/>
              <w:jc w:val="right"/>
            </w:pPr>
            <w:r>
              <w:rPr>
                <w:sz w:val="18"/>
              </w:rPr>
              <w:t>113,9</w:t>
            </w:r>
          </w:p>
        </w:tc>
      </w:tr>
    </w:tbl>
    <w:p w:rsidR="002A6F4E" w:rsidRDefault="002A6F4E">
      <w:pPr>
        <w:spacing w:after="0"/>
      </w:pPr>
    </w:p>
    <w:p w:rsidR="002A6F4E" w:rsidRDefault="00D94E62" w:rsidP="00D347BA">
      <w:pPr>
        <w:jc w:val="both"/>
      </w:pPr>
      <w:r>
        <w:t xml:space="preserve">Šifra 381 – Tekuće donacije ostvarene su u iznosu od 207.962,92 eura što je za 13,9 % više nego 2024. godine. Sredstva za rad udruga na području Općine </w:t>
      </w:r>
      <w:proofErr w:type="spellStart"/>
      <w:r>
        <w:t>Fužine</w:t>
      </w:r>
      <w:proofErr w:type="spellEnd"/>
      <w:r>
        <w:t xml:space="preserve"> isplaćuju se po zahtjevima udruga.</w:t>
      </w:r>
    </w:p>
    <w:p w:rsidR="002A6F4E" w:rsidRDefault="002A6F4E"/>
    <w:p w:rsidR="002A6F4E" w:rsidRDefault="00D94E62">
      <w:pPr>
        <w:keepNext/>
        <w:spacing w:line="240" w:lineRule="auto"/>
        <w:jc w:val="center"/>
      </w:pPr>
      <w:r>
        <w:rPr>
          <w:sz w:val="28"/>
        </w:rPr>
        <w:t>Bilješka 26.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2A6F4E">
        <w:trPr>
          <w:cantSplit/>
        </w:trPr>
        <w:tc>
          <w:tcPr>
            <w:tcW w:w="700" w:type="dxa"/>
            <w:shd w:val="clear" w:color="auto" w:fill="E7F0F9"/>
            <w:tcMar>
              <w:top w:w="0" w:type="dxa"/>
              <w:bottom w:w="0" w:type="dxa"/>
            </w:tcMar>
            <w:vAlign w:val="center"/>
          </w:tcPr>
          <w:p w:rsidR="002A6F4E" w:rsidRDefault="00D94E62">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2A6F4E" w:rsidRDefault="00D94E62">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2A6F4E" w:rsidRDefault="00D94E62">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2A6F4E" w:rsidRDefault="00D94E62">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2A6F4E" w:rsidRDefault="00D94E62">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2A6F4E" w:rsidRDefault="00D94E62">
            <w:pPr>
              <w:keepNext/>
              <w:keepLines/>
              <w:spacing w:after="0" w:line="240" w:lineRule="auto"/>
              <w:jc w:val="center"/>
            </w:pPr>
            <w:r>
              <w:rPr>
                <w:b/>
                <w:sz w:val="18"/>
              </w:rPr>
              <w:t>Indeks (%)</w:t>
            </w:r>
          </w:p>
        </w:tc>
      </w:tr>
      <w:tr w:rsidR="002A6F4E">
        <w:trPr>
          <w:cantSplit/>
          <w:trHeight w:val="560"/>
        </w:trPr>
        <w:tc>
          <w:tcPr>
            <w:tcW w:w="700" w:type="dxa"/>
            <w:tcMar>
              <w:top w:w="0" w:type="dxa"/>
              <w:bottom w:w="0" w:type="dxa"/>
            </w:tcMar>
            <w:vAlign w:val="center"/>
          </w:tcPr>
          <w:p w:rsidR="002A6F4E" w:rsidRDefault="00D94E62">
            <w:pPr>
              <w:keepNext/>
              <w:keepLines/>
              <w:spacing w:after="0" w:line="240" w:lineRule="auto"/>
            </w:pPr>
            <w:r>
              <w:rPr>
                <w:sz w:val="18"/>
              </w:rPr>
              <w:t>386</w:t>
            </w:r>
          </w:p>
        </w:tc>
        <w:tc>
          <w:tcPr>
            <w:tcW w:w="3180" w:type="dxa"/>
            <w:tcMar>
              <w:top w:w="0" w:type="dxa"/>
              <w:bottom w:w="0" w:type="dxa"/>
            </w:tcMar>
            <w:vAlign w:val="center"/>
          </w:tcPr>
          <w:p w:rsidR="002A6F4E" w:rsidRDefault="00D94E62">
            <w:pPr>
              <w:keepNext/>
              <w:keepLines/>
              <w:spacing w:after="0" w:line="240" w:lineRule="auto"/>
            </w:pPr>
            <w:r>
              <w:rPr>
                <w:sz w:val="18"/>
              </w:rPr>
              <w:t>Kapitalne pomoći (šifre 3861 do 3865)</w:t>
            </w:r>
          </w:p>
        </w:tc>
        <w:tc>
          <w:tcPr>
            <w:tcW w:w="700" w:type="dxa"/>
            <w:tcMar>
              <w:top w:w="0" w:type="dxa"/>
              <w:bottom w:w="0" w:type="dxa"/>
            </w:tcMar>
            <w:vAlign w:val="center"/>
          </w:tcPr>
          <w:p w:rsidR="002A6F4E" w:rsidRDefault="00D94E62">
            <w:pPr>
              <w:keepNext/>
              <w:keepLines/>
              <w:spacing w:after="0" w:line="240" w:lineRule="auto"/>
            </w:pPr>
            <w:r>
              <w:rPr>
                <w:sz w:val="18"/>
              </w:rPr>
              <w:t>386</w:t>
            </w:r>
          </w:p>
        </w:tc>
        <w:tc>
          <w:tcPr>
            <w:tcW w:w="1860" w:type="dxa"/>
            <w:tcMar>
              <w:top w:w="0" w:type="dxa"/>
              <w:bottom w:w="0" w:type="dxa"/>
            </w:tcMar>
            <w:vAlign w:val="center"/>
          </w:tcPr>
          <w:p w:rsidR="002A6F4E" w:rsidRDefault="00D94E62">
            <w:pPr>
              <w:keepNext/>
              <w:keepLines/>
              <w:spacing w:after="0" w:line="240" w:lineRule="auto"/>
              <w:jc w:val="right"/>
            </w:pPr>
            <w:r>
              <w:rPr>
                <w:sz w:val="18"/>
              </w:rPr>
              <w:t>118.949,05</w:t>
            </w:r>
          </w:p>
        </w:tc>
        <w:tc>
          <w:tcPr>
            <w:tcW w:w="1860" w:type="dxa"/>
            <w:tcMar>
              <w:top w:w="0" w:type="dxa"/>
              <w:bottom w:w="0" w:type="dxa"/>
            </w:tcMar>
            <w:vAlign w:val="center"/>
          </w:tcPr>
          <w:p w:rsidR="002A6F4E" w:rsidRDefault="00D94E62">
            <w:pPr>
              <w:keepNext/>
              <w:keepLines/>
              <w:spacing w:after="0" w:line="240" w:lineRule="auto"/>
              <w:jc w:val="right"/>
            </w:pPr>
            <w:r>
              <w:rPr>
                <w:sz w:val="18"/>
              </w:rPr>
              <w:t>16.502,59</w:t>
            </w:r>
          </w:p>
        </w:tc>
        <w:tc>
          <w:tcPr>
            <w:tcW w:w="700" w:type="dxa"/>
            <w:tcMar>
              <w:top w:w="0" w:type="dxa"/>
              <w:bottom w:w="0" w:type="dxa"/>
            </w:tcMar>
            <w:vAlign w:val="center"/>
          </w:tcPr>
          <w:p w:rsidR="002A6F4E" w:rsidRDefault="00D94E62">
            <w:pPr>
              <w:keepNext/>
              <w:keepLines/>
              <w:spacing w:after="0" w:line="240" w:lineRule="auto"/>
              <w:jc w:val="right"/>
            </w:pPr>
            <w:r>
              <w:rPr>
                <w:sz w:val="18"/>
              </w:rPr>
              <w:t>13,9</w:t>
            </w:r>
          </w:p>
        </w:tc>
      </w:tr>
    </w:tbl>
    <w:p w:rsidR="002A6F4E" w:rsidRDefault="002A6F4E">
      <w:pPr>
        <w:spacing w:after="0"/>
      </w:pPr>
    </w:p>
    <w:p w:rsidR="002A6F4E" w:rsidRDefault="00D94E62" w:rsidP="00D347BA">
      <w:pPr>
        <w:jc w:val="both"/>
      </w:pPr>
      <w:r>
        <w:t xml:space="preserve">Šifra 386 - Kapitalne pomoći ostvarene su u iznosu od 16.502,59 eura što je za 86,1 % manje nego prethodne godine. Radi se o sredstvima za sufinanciranje priključaka na kanalizacijski kolektor domaćinstvima sa područja Općine </w:t>
      </w:r>
      <w:proofErr w:type="spellStart"/>
      <w:r>
        <w:t>Fužine</w:t>
      </w:r>
      <w:proofErr w:type="spellEnd"/>
      <w:r>
        <w:t xml:space="preserve"> te sredstvima u iznosu od 13.798,22 eura za sufinanciranje sanacije odlagališta otpada Sović laz.</w:t>
      </w:r>
    </w:p>
    <w:p w:rsidR="002A6F4E" w:rsidRDefault="002A6F4E"/>
    <w:p w:rsidR="002A6F4E" w:rsidRDefault="00D94E62">
      <w:pPr>
        <w:keepNext/>
        <w:spacing w:line="240" w:lineRule="auto"/>
        <w:jc w:val="center"/>
      </w:pPr>
      <w:r>
        <w:rPr>
          <w:sz w:val="28"/>
        </w:rPr>
        <w:t>Bilješka 27.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2A6F4E">
        <w:trPr>
          <w:cantSplit/>
        </w:trPr>
        <w:tc>
          <w:tcPr>
            <w:tcW w:w="700" w:type="dxa"/>
            <w:shd w:val="clear" w:color="auto" w:fill="E7F0F9"/>
            <w:tcMar>
              <w:top w:w="0" w:type="dxa"/>
              <w:bottom w:w="0" w:type="dxa"/>
            </w:tcMar>
            <w:vAlign w:val="center"/>
          </w:tcPr>
          <w:p w:rsidR="002A6F4E" w:rsidRDefault="00D94E62">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2A6F4E" w:rsidRDefault="00D94E62">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2A6F4E" w:rsidRDefault="00D94E62">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2A6F4E" w:rsidRDefault="00D94E62">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2A6F4E" w:rsidRDefault="00D94E62">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2A6F4E" w:rsidRDefault="00D94E62">
            <w:pPr>
              <w:keepNext/>
              <w:keepLines/>
              <w:spacing w:after="0" w:line="240" w:lineRule="auto"/>
              <w:jc w:val="center"/>
            </w:pPr>
            <w:r>
              <w:rPr>
                <w:b/>
                <w:sz w:val="18"/>
              </w:rPr>
              <w:t>Indeks (%)</w:t>
            </w:r>
          </w:p>
        </w:tc>
      </w:tr>
      <w:tr w:rsidR="002A6F4E">
        <w:trPr>
          <w:cantSplit/>
          <w:trHeight w:val="560"/>
        </w:trPr>
        <w:tc>
          <w:tcPr>
            <w:tcW w:w="700" w:type="dxa"/>
            <w:tcMar>
              <w:top w:w="0" w:type="dxa"/>
              <w:bottom w:w="0" w:type="dxa"/>
            </w:tcMar>
            <w:vAlign w:val="center"/>
          </w:tcPr>
          <w:p w:rsidR="002A6F4E" w:rsidRDefault="00D94E62">
            <w:pPr>
              <w:keepNext/>
              <w:keepLines/>
              <w:spacing w:after="0" w:line="240" w:lineRule="auto"/>
            </w:pPr>
            <w:r>
              <w:rPr>
                <w:sz w:val="18"/>
              </w:rPr>
              <w:t>711</w:t>
            </w:r>
          </w:p>
        </w:tc>
        <w:tc>
          <w:tcPr>
            <w:tcW w:w="3180" w:type="dxa"/>
            <w:tcMar>
              <w:top w:w="0" w:type="dxa"/>
              <w:bottom w:w="0" w:type="dxa"/>
            </w:tcMar>
            <w:vAlign w:val="center"/>
          </w:tcPr>
          <w:p w:rsidR="002A6F4E" w:rsidRDefault="00D94E62">
            <w:pPr>
              <w:keepNext/>
              <w:keepLines/>
              <w:spacing w:after="0" w:line="240" w:lineRule="auto"/>
            </w:pPr>
            <w:r>
              <w:rPr>
                <w:sz w:val="18"/>
              </w:rPr>
              <w:t>Prihodi od prodaje materijalne imovine - prirodnih bogatstava (šifre 7111 do 7113)</w:t>
            </w:r>
          </w:p>
        </w:tc>
        <w:tc>
          <w:tcPr>
            <w:tcW w:w="700" w:type="dxa"/>
            <w:tcMar>
              <w:top w:w="0" w:type="dxa"/>
              <w:bottom w:w="0" w:type="dxa"/>
            </w:tcMar>
            <w:vAlign w:val="center"/>
          </w:tcPr>
          <w:p w:rsidR="002A6F4E" w:rsidRDefault="00D94E62">
            <w:pPr>
              <w:keepNext/>
              <w:keepLines/>
              <w:spacing w:after="0" w:line="240" w:lineRule="auto"/>
            </w:pPr>
            <w:r>
              <w:rPr>
                <w:sz w:val="18"/>
              </w:rPr>
              <w:t>711</w:t>
            </w:r>
          </w:p>
        </w:tc>
        <w:tc>
          <w:tcPr>
            <w:tcW w:w="1860" w:type="dxa"/>
            <w:tcMar>
              <w:top w:w="0" w:type="dxa"/>
              <w:bottom w:w="0" w:type="dxa"/>
            </w:tcMar>
            <w:vAlign w:val="center"/>
          </w:tcPr>
          <w:p w:rsidR="002A6F4E" w:rsidRDefault="00D94E62">
            <w:pPr>
              <w:keepNext/>
              <w:keepLines/>
              <w:spacing w:after="0" w:line="240" w:lineRule="auto"/>
              <w:jc w:val="right"/>
            </w:pPr>
            <w:r>
              <w:rPr>
                <w:sz w:val="18"/>
              </w:rPr>
              <w:t>76.105,02</w:t>
            </w:r>
          </w:p>
        </w:tc>
        <w:tc>
          <w:tcPr>
            <w:tcW w:w="1860" w:type="dxa"/>
            <w:tcMar>
              <w:top w:w="0" w:type="dxa"/>
              <w:bottom w:w="0" w:type="dxa"/>
            </w:tcMar>
            <w:vAlign w:val="center"/>
          </w:tcPr>
          <w:p w:rsidR="002A6F4E" w:rsidRDefault="00D94E62">
            <w:pPr>
              <w:keepNext/>
              <w:keepLines/>
              <w:spacing w:after="0" w:line="240" w:lineRule="auto"/>
              <w:jc w:val="right"/>
            </w:pPr>
            <w:r>
              <w:rPr>
                <w:sz w:val="18"/>
              </w:rPr>
              <w:t>158.551,30</w:t>
            </w:r>
          </w:p>
        </w:tc>
        <w:tc>
          <w:tcPr>
            <w:tcW w:w="700" w:type="dxa"/>
            <w:tcMar>
              <w:top w:w="0" w:type="dxa"/>
              <w:bottom w:w="0" w:type="dxa"/>
            </w:tcMar>
            <w:vAlign w:val="center"/>
          </w:tcPr>
          <w:p w:rsidR="002A6F4E" w:rsidRDefault="00D94E62">
            <w:pPr>
              <w:keepNext/>
              <w:keepLines/>
              <w:spacing w:after="0" w:line="240" w:lineRule="auto"/>
              <w:jc w:val="right"/>
            </w:pPr>
            <w:r>
              <w:rPr>
                <w:sz w:val="18"/>
              </w:rPr>
              <w:t>208,3</w:t>
            </w:r>
          </w:p>
        </w:tc>
      </w:tr>
    </w:tbl>
    <w:p w:rsidR="002A6F4E" w:rsidRDefault="002A6F4E">
      <w:pPr>
        <w:spacing w:after="0"/>
      </w:pPr>
    </w:p>
    <w:p w:rsidR="002A6F4E" w:rsidRDefault="00D94E62" w:rsidP="00D347BA">
      <w:pPr>
        <w:jc w:val="both"/>
      </w:pPr>
      <w:r>
        <w:t xml:space="preserve">Šifra 711 – Prihodi od prodaje materijalne imovine – prirodnih bogatstava - obuhvaćaju prihod od prodaje građevinskog zemljišta u vlasništvu Općine </w:t>
      </w:r>
      <w:proofErr w:type="spellStart"/>
      <w:r>
        <w:t>Fužine</w:t>
      </w:r>
      <w:proofErr w:type="spellEnd"/>
      <w:r>
        <w:t xml:space="preserve"> po raspisanom Javnom natječaju u 2024. godini i 2025. godini.</w:t>
      </w:r>
    </w:p>
    <w:p w:rsidR="002A6F4E" w:rsidRDefault="002A6F4E"/>
    <w:p w:rsidR="002A6F4E" w:rsidRDefault="00D94E62">
      <w:pPr>
        <w:keepNext/>
        <w:spacing w:line="240" w:lineRule="auto"/>
        <w:jc w:val="center"/>
      </w:pPr>
      <w:r>
        <w:rPr>
          <w:sz w:val="28"/>
        </w:rPr>
        <w:t>Bilješka 28.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2A6F4E">
        <w:trPr>
          <w:cantSplit/>
        </w:trPr>
        <w:tc>
          <w:tcPr>
            <w:tcW w:w="700" w:type="dxa"/>
            <w:shd w:val="clear" w:color="auto" w:fill="E7F0F9"/>
            <w:tcMar>
              <w:top w:w="0" w:type="dxa"/>
              <w:bottom w:w="0" w:type="dxa"/>
            </w:tcMar>
            <w:vAlign w:val="center"/>
          </w:tcPr>
          <w:p w:rsidR="002A6F4E" w:rsidRDefault="00D94E62">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2A6F4E" w:rsidRDefault="00D94E62">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2A6F4E" w:rsidRDefault="00D94E62">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2A6F4E" w:rsidRDefault="00D94E62">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2A6F4E" w:rsidRDefault="00D94E62">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2A6F4E" w:rsidRDefault="00D94E62">
            <w:pPr>
              <w:keepNext/>
              <w:keepLines/>
              <w:spacing w:after="0" w:line="240" w:lineRule="auto"/>
              <w:jc w:val="center"/>
            </w:pPr>
            <w:r>
              <w:rPr>
                <w:b/>
                <w:sz w:val="18"/>
              </w:rPr>
              <w:t>Indeks (%)</w:t>
            </w:r>
          </w:p>
        </w:tc>
      </w:tr>
      <w:tr w:rsidR="002A6F4E">
        <w:trPr>
          <w:cantSplit/>
          <w:trHeight w:val="560"/>
        </w:trPr>
        <w:tc>
          <w:tcPr>
            <w:tcW w:w="700" w:type="dxa"/>
            <w:tcMar>
              <w:top w:w="0" w:type="dxa"/>
              <w:bottom w:w="0" w:type="dxa"/>
            </w:tcMar>
            <w:vAlign w:val="center"/>
          </w:tcPr>
          <w:p w:rsidR="002A6F4E" w:rsidRDefault="00D94E62">
            <w:pPr>
              <w:keepNext/>
              <w:keepLines/>
              <w:spacing w:after="0" w:line="240" w:lineRule="auto"/>
            </w:pPr>
            <w:r>
              <w:rPr>
                <w:sz w:val="18"/>
              </w:rPr>
              <w:t>712</w:t>
            </w:r>
          </w:p>
        </w:tc>
        <w:tc>
          <w:tcPr>
            <w:tcW w:w="3180" w:type="dxa"/>
            <w:tcMar>
              <w:top w:w="0" w:type="dxa"/>
              <w:bottom w:w="0" w:type="dxa"/>
            </w:tcMar>
            <w:vAlign w:val="center"/>
          </w:tcPr>
          <w:p w:rsidR="002A6F4E" w:rsidRDefault="00D94E62">
            <w:pPr>
              <w:keepNext/>
              <w:keepLines/>
              <w:spacing w:after="0" w:line="240" w:lineRule="auto"/>
            </w:pPr>
            <w:r>
              <w:rPr>
                <w:sz w:val="18"/>
              </w:rPr>
              <w:t>Prihodi od prodaje nematerijalne imovine (šifre 7121 do 7126)</w:t>
            </w:r>
          </w:p>
        </w:tc>
        <w:tc>
          <w:tcPr>
            <w:tcW w:w="700" w:type="dxa"/>
            <w:tcMar>
              <w:top w:w="0" w:type="dxa"/>
              <w:bottom w:w="0" w:type="dxa"/>
            </w:tcMar>
            <w:vAlign w:val="center"/>
          </w:tcPr>
          <w:p w:rsidR="002A6F4E" w:rsidRDefault="00D94E62">
            <w:pPr>
              <w:keepNext/>
              <w:keepLines/>
              <w:spacing w:after="0" w:line="240" w:lineRule="auto"/>
            </w:pPr>
            <w:r>
              <w:rPr>
                <w:sz w:val="18"/>
              </w:rPr>
              <w:t>712</w:t>
            </w:r>
          </w:p>
        </w:tc>
        <w:tc>
          <w:tcPr>
            <w:tcW w:w="1860" w:type="dxa"/>
            <w:tcMar>
              <w:top w:w="0" w:type="dxa"/>
              <w:bottom w:w="0" w:type="dxa"/>
            </w:tcMar>
            <w:vAlign w:val="center"/>
          </w:tcPr>
          <w:p w:rsidR="002A6F4E" w:rsidRDefault="00D94E62">
            <w:pPr>
              <w:keepNext/>
              <w:keepLines/>
              <w:spacing w:after="0" w:line="240" w:lineRule="auto"/>
              <w:jc w:val="right"/>
            </w:pPr>
            <w:r>
              <w:rPr>
                <w:sz w:val="18"/>
              </w:rPr>
              <w:t>0,00</w:t>
            </w:r>
          </w:p>
        </w:tc>
        <w:tc>
          <w:tcPr>
            <w:tcW w:w="1860" w:type="dxa"/>
            <w:tcMar>
              <w:top w:w="0" w:type="dxa"/>
              <w:bottom w:w="0" w:type="dxa"/>
            </w:tcMar>
            <w:vAlign w:val="center"/>
          </w:tcPr>
          <w:p w:rsidR="002A6F4E" w:rsidRDefault="00D94E62">
            <w:pPr>
              <w:keepNext/>
              <w:keepLines/>
              <w:spacing w:after="0" w:line="240" w:lineRule="auto"/>
              <w:jc w:val="right"/>
            </w:pPr>
            <w:r>
              <w:rPr>
                <w:sz w:val="18"/>
              </w:rPr>
              <w:t>0,00</w:t>
            </w:r>
          </w:p>
        </w:tc>
        <w:tc>
          <w:tcPr>
            <w:tcW w:w="700" w:type="dxa"/>
            <w:tcMar>
              <w:top w:w="0" w:type="dxa"/>
              <w:bottom w:w="0" w:type="dxa"/>
            </w:tcMar>
            <w:vAlign w:val="center"/>
          </w:tcPr>
          <w:p w:rsidR="002A6F4E" w:rsidRDefault="00D94E62">
            <w:pPr>
              <w:keepNext/>
              <w:keepLines/>
              <w:spacing w:after="0" w:line="240" w:lineRule="auto"/>
              <w:jc w:val="right"/>
            </w:pPr>
            <w:r>
              <w:rPr>
                <w:sz w:val="18"/>
              </w:rPr>
              <w:t>-</w:t>
            </w:r>
          </w:p>
        </w:tc>
      </w:tr>
    </w:tbl>
    <w:p w:rsidR="002A6F4E" w:rsidRDefault="002A6F4E">
      <w:pPr>
        <w:spacing w:after="0"/>
      </w:pPr>
    </w:p>
    <w:p w:rsidR="002A6F4E" w:rsidRDefault="00D94E62" w:rsidP="00D347BA">
      <w:pPr>
        <w:jc w:val="both"/>
      </w:pPr>
      <w:r>
        <w:t>Šifra 721 – Prihodi od prodaje građevinskih objekata manji su viši su za 53,5 % od istih u 2024. godini. Prihod se odnosi na otkup stanova na kojima postoji stanarsko pravo, nakon proslijeđenog iznosa od 55 % u korist Državnog proračuna. </w:t>
      </w:r>
    </w:p>
    <w:p w:rsidR="002A6F4E" w:rsidRDefault="00D94E62" w:rsidP="00D347BA">
      <w:pPr>
        <w:jc w:val="center"/>
      </w:pPr>
      <w:r>
        <w:rPr>
          <w:sz w:val="28"/>
        </w:rPr>
        <w:lastRenderedPageBreak/>
        <w:t>Bilješka 29.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2A6F4E">
        <w:trPr>
          <w:cantSplit/>
        </w:trPr>
        <w:tc>
          <w:tcPr>
            <w:tcW w:w="700" w:type="dxa"/>
            <w:shd w:val="clear" w:color="auto" w:fill="E7F0F9"/>
            <w:tcMar>
              <w:top w:w="0" w:type="dxa"/>
              <w:bottom w:w="0" w:type="dxa"/>
            </w:tcMar>
            <w:vAlign w:val="center"/>
          </w:tcPr>
          <w:p w:rsidR="002A6F4E" w:rsidRDefault="00D94E62">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2A6F4E" w:rsidRDefault="00D94E62">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2A6F4E" w:rsidRDefault="00D94E62">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2A6F4E" w:rsidRDefault="00D94E62">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2A6F4E" w:rsidRDefault="00D94E62">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2A6F4E" w:rsidRDefault="00D94E62">
            <w:pPr>
              <w:keepNext/>
              <w:keepLines/>
              <w:spacing w:after="0" w:line="240" w:lineRule="auto"/>
              <w:jc w:val="center"/>
            </w:pPr>
            <w:r>
              <w:rPr>
                <w:b/>
                <w:sz w:val="18"/>
              </w:rPr>
              <w:t>Indeks (%)</w:t>
            </w:r>
          </w:p>
        </w:tc>
      </w:tr>
      <w:tr w:rsidR="002A6F4E">
        <w:trPr>
          <w:cantSplit/>
          <w:trHeight w:val="560"/>
        </w:trPr>
        <w:tc>
          <w:tcPr>
            <w:tcW w:w="700" w:type="dxa"/>
            <w:tcMar>
              <w:top w:w="0" w:type="dxa"/>
              <w:bottom w:w="0" w:type="dxa"/>
            </w:tcMar>
            <w:vAlign w:val="center"/>
          </w:tcPr>
          <w:p w:rsidR="002A6F4E" w:rsidRDefault="00D94E62">
            <w:pPr>
              <w:keepNext/>
              <w:keepLines/>
              <w:spacing w:after="0" w:line="240" w:lineRule="auto"/>
            </w:pPr>
            <w:r>
              <w:rPr>
                <w:sz w:val="18"/>
              </w:rPr>
              <w:t>421</w:t>
            </w:r>
          </w:p>
        </w:tc>
        <w:tc>
          <w:tcPr>
            <w:tcW w:w="3180" w:type="dxa"/>
            <w:tcMar>
              <w:top w:w="0" w:type="dxa"/>
              <w:bottom w:w="0" w:type="dxa"/>
            </w:tcMar>
            <w:vAlign w:val="center"/>
          </w:tcPr>
          <w:p w:rsidR="002A6F4E" w:rsidRDefault="00D94E62">
            <w:pPr>
              <w:keepNext/>
              <w:keepLines/>
              <w:spacing w:after="0" w:line="240" w:lineRule="auto"/>
            </w:pPr>
            <w:r>
              <w:rPr>
                <w:sz w:val="18"/>
              </w:rPr>
              <w:t>Građevinski objekti (šifre 4211 do 4214)</w:t>
            </w:r>
          </w:p>
        </w:tc>
        <w:tc>
          <w:tcPr>
            <w:tcW w:w="700" w:type="dxa"/>
            <w:tcMar>
              <w:top w:w="0" w:type="dxa"/>
              <w:bottom w:w="0" w:type="dxa"/>
            </w:tcMar>
            <w:vAlign w:val="center"/>
          </w:tcPr>
          <w:p w:rsidR="002A6F4E" w:rsidRDefault="00D94E62">
            <w:pPr>
              <w:keepNext/>
              <w:keepLines/>
              <w:spacing w:after="0" w:line="240" w:lineRule="auto"/>
            </w:pPr>
            <w:r>
              <w:rPr>
                <w:sz w:val="18"/>
              </w:rPr>
              <w:t>421</w:t>
            </w:r>
          </w:p>
        </w:tc>
        <w:tc>
          <w:tcPr>
            <w:tcW w:w="1860" w:type="dxa"/>
            <w:tcMar>
              <w:top w:w="0" w:type="dxa"/>
              <w:bottom w:w="0" w:type="dxa"/>
            </w:tcMar>
            <w:vAlign w:val="center"/>
          </w:tcPr>
          <w:p w:rsidR="002A6F4E" w:rsidRDefault="00D94E62">
            <w:pPr>
              <w:keepNext/>
              <w:keepLines/>
              <w:spacing w:after="0" w:line="240" w:lineRule="auto"/>
              <w:jc w:val="right"/>
            </w:pPr>
            <w:r>
              <w:rPr>
                <w:sz w:val="18"/>
              </w:rPr>
              <w:t>777.041,92</w:t>
            </w:r>
          </w:p>
        </w:tc>
        <w:tc>
          <w:tcPr>
            <w:tcW w:w="1860" w:type="dxa"/>
            <w:tcMar>
              <w:top w:w="0" w:type="dxa"/>
              <w:bottom w:w="0" w:type="dxa"/>
            </w:tcMar>
            <w:vAlign w:val="center"/>
          </w:tcPr>
          <w:p w:rsidR="002A6F4E" w:rsidRDefault="00D94E62">
            <w:pPr>
              <w:keepNext/>
              <w:keepLines/>
              <w:spacing w:after="0" w:line="240" w:lineRule="auto"/>
              <w:jc w:val="right"/>
            </w:pPr>
            <w:r>
              <w:rPr>
                <w:sz w:val="18"/>
              </w:rPr>
              <w:t>458.272,48</w:t>
            </w:r>
          </w:p>
        </w:tc>
        <w:tc>
          <w:tcPr>
            <w:tcW w:w="700" w:type="dxa"/>
            <w:tcMar>
              <w:top w:w="0" w:type="dxa"/>
              <w:bottom w:w="0" w:type="dxa"/>
            </w:tcMar>
            <w:vAlign w:val="center"/>
          </w:tcPr>
          <w:p w:rsidR="002A6F4E" w:rsidRDefault="00D94E62">
            <w:pPr>
              <w:keepNext/>
              <w:keepLines/>
              <w:spacing w:after="0" w:line="240" w:lineRule="auto"/>
              <w:jc w:val="right"/>
            </w:pPr>
            <w:r>
              <w:rPr>
                <w:sz w:val="18"/>
              </w:rPr>
              <w:t>59,0</w:t>
            </w:r>
          </w:p>
        </w:tc>
      </w:tr>
    </w:tbl>
    <w:p w:rsidR="002A6F4E" w:rsidRDefault="002A6F4E">
      <w:pPr>
        <w:spacing w:after="0"/>
      </w:pPr>
    </w:p>
    <w:p w:rsidR="002A6F4E" w:rsidRDefault="00D94E62" w:rsidP="00D347BA">
      <w:pPr>
        <w:jc w:val="both"/>
      </w:pPr>
      <w:r>
        <w:t>Šifra 421 – Građevinski objekti ostvareni su u iznosu od 458.272,48 eura što je za 41,0 % manje nego prošle godine u istom razdoblju. U odnosu na prethodnu godinu u 2025. godini je re</w:t>
      </w:r>
      <w:r w:rsidR="00D70331">
        <w:t>a</w:t>
      </w:r>
      <w:r>
        <w:t>liziran završ</w:t>
      </w:r>
      <w:r w:rsidR="00D70331">
        <w:t>e</w:t>
      </w:r>
      <w:r>
        <w:t xml:space="preserve">tak Projekta povijesno kulturna baština naselja </w:t>
      </w:r>
      <w:proofErr w:type="spellStart"/>
      <w:r>
        <w:t>Lič</w:t>
      </w:r>
      <w:proofErr w:type="spellEnd"/>
      <w:r>
        <w:t xml:space="preserve"> (Križni put, Svetište MBS i vidikovac Gradina), uređenje Tematsko-edukativne staze </w:t>
      </w:r>
      <w:proofErr w:type="spellStart"/>
      <w:r>
        <w:t>Lepenica</w:t>
      </w:r>
      <w:proofErr w:type="spellEnd"/>
      <w:r>
        <w:t xml:space="preserve"> II faza, Projekt Šetalište Kreše Golika, postavljanje vodovodnog priključka na lokaciji Parkiralište Čoka.</w:t>
      </w:r>
    </w:p>
    <w:p w:rsidR="002A6F4E" w:rsidRDefault="002A6F4E"/>
    <w:p w:rsidR="002A6F4E" w:rsidRDefault="00D94E62">
      <w:pPr>
        <w:keepNext/>
        <w:spacing w:line="240" w:lineRule="auto"/>
        <w:jc w:val="center"/>
      </w:pPr>
      <w:r>
        <w:rPr>
          <w:sz w:val="28"/>
        </w:rPr>
        <w:t>Bilješka 30.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2A6F4E">
        <w:trPr>
          <w:cantSplit/>
        </w:trPr>
        <w:tc>
          <w:tcPr>
            <w:tcW w:w="700" w:type="dxa"/>
            <w:shd w:val="clear" w:color="auto" w:fill="E7F0F9"/>
            <w:tcMar>
              <w:top w:w="0" w:type="dxa"/>
              <w:bottom w:w="0" w:type="dxa"/>
            </w:tcMar>
            <w:vAlign w:val="center"/>
          </w:tcPr>
          <w:p w:rsidR="002A6F4E" w:rsidRDefault="00D94E62">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2A6F4E" w:rsidRDefault="00D94E62">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2A6F4E" w:rsidRDefault="00D94E62">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2A6F4E" w:rsidRDefault="00D94E62">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2A6F4E" w:rsidRDefault="00D94E62">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2A6F4E" w:rsidRDefault="00D94E62">
            <w:pPr>
              <w:keepNext/>
              <w:keepLines/>
              <w:spacing w:after="0" w:line="240" w:lineRule="auto"/>
              <w:jc w:val="center"/>
            </w:pPr>
            <w:r>
              <w:rPr>
                <w:b/>
                <w:sz w:val="18"/>
              </w:rPr>
              <w:t>Indeks (%)</w:t>
            </w:r>
          </w:p>
        </w:tc>
      </w:tr>
      <w:tr w:rsidR="002A6F4E">
        <w:trPr>
          <w:cantSplit/>
          <w:trHeight w:val="560"/>
        </w:trPr>
        <w:tc>
          <w:tcPr>
            <w:tcW w:w="700" w:type="dxa"/>
            <w:tcMar>
              <w:top w:w="0" w:type="dxa"/>
              <w:bottom w:w="0" w:type="dxa"/>
            </w:tcMar>
            <w:vAlign w:val="center"/>
          </w:tcPr>
          <w:p w:rsidR="002A6F4E" w:rsidRDefault="00D94E62">
            <w:pPr>
              <w:keepNext/>
              <w:keepLines/>
              <w:spacing w:after="0" w:line="240" w:lineRule="auto"/>
            </w:pPr>
            <w:r>
              <w:rPr>
                <w:sz w:val="18"/>
              </w:rPr>
              <w:t>422</w:t>
            </w:r>
          </w:p>
        </w:tc>
        <w:tc>
          <w:tcPr>
            <w:tcW w:w="3180" w:type="dxa"/>
            <w:tcMar>
              <w:top w:w="0" w:type="dxa"/>
              <w:bottom w:w="0" w:type="dxa"/>
            </w:tcMar>
            <w:vAlign w:val="center"/>
          </w:tcPr>
          <w:p w:rsidR="002A6F4E" w:rsidRDefault="00D94E62">
            <w:pPr>
              <w:keepNext/>
              <w:keepLines/>
              <w:spacing w:after="0" w:line="240" w:lineRule="auto"/>
            </w:pPr>
            <w:r>
              <w:rPr>
                <w:sz w:val="18"/>
              </w:rPr>
              <w:t>Postrojenja i oprema (šifre 4221 do 4228)</w:t>
            </w:r>
          </w:p>
        </w:tc>
        <w:tc>
          <w:tcPr>
            <w:tcW w:w="700" w:type="dxa"/>
            <w:tcMar>
              <w:top w:w="0" w:type="dxa"/>
              <w:bottom w:w="0" w:type="dxa"/>
            </w:tcMar>
            <w:vAlign w:val="center"/>
          </w:tcPr>
          <w:p w:rsidR="002A6F4E" w:rsidRDefault="00D94E62">
            <w:pPr>
              <w:keepNext/>
              <w:keepLines/>
              <w:spacing w:after="0" w:line="240" w:lineRule="auto"/>
            </w:pPr>
            <w:r>
              <w:rPr>
                <w:sz w:val="18"/>
              </w:rPr>
              <w:t>422</w:t>
            </w:r>
          </w:p>
        </w:tc>
        <w:tc>
          <w:tcPr>
            <w:tcW w:w="1860" w:type="dxa"/>
            <w:tcMar>
              <w:top w:w="0" w:type="dxa"/>
              <w:bottom w:w="0" w:type="dxa"/>
            </w:tcMar>
            <w:vAlign w:val="center"/>
          </w:tcPr>
          <w:p w:rsidR="002A6F4E" w:rsidRDefault="00D94E62">
            <w:pPr>
              <w:keepNext/>
              <w:keepLines/>
              <w:spacing w:after="0" w:line="240" w:lineRule="auto"/>
              <w:jc w:val="right"/>
            </w:pPr>
            <w:r>
              <w:rPr>
                <w:sz w:val="18"/>
              </w:rPr>
              <w:t>64.157,92</w:t>
            </w:r>
          </w:p>
        </w:tc>
        <w:tc>
          <w:tcPr>
            <w:tcW w:w="1860" w:type="dxa"/>
            <w:tcMar>
              <w:top w:w="0" w:type="dxa"/>
              <w:bottom w:w="0" w:type="dxa"/>
            </w:tcMar>
            <w:vAlign w:val="center"/>
          </w:tcPr>
          <w:p w:rsidR="002A6F4E" w:rsidRDefault="00D94E62">
            <w:pPr>
              <w:keepNext/>
              <w:keepLines/>
              <w:spacing w:after="0" w:line="240" w:lineRule="auto"/>
              <w:jc w:val="right"/>
            </w:pPr>
            <w:r>
              <w:rPr>
                <w:sz w:val="18"/>
              </w:rPr>
              <w:t>33.812,98</w:t>
            </w:r>
          </w:p>
        </w:tc>
        <w:tc>
          <w:tcPr>
            <w:tcW w:w="700" w:type="dxa"/>
            <w:tcMar>
              <w:top w:w="0" w:type="dxa"/>
              <w:bottom w:w="0" w:type="dxa"/>
            </w:tcMar>
            <w:vAlign w:val="center"/>
          </w:tcPr>
          <w:p w:rsidR="002A6F4E" w:rsidRDefault="00D94E62">
            <w:pPr>
              <w:keepNext/>
              <w:keepLines/>
              <w:spacing w:after="0" w:line="240" w:lineRule="auto"/>
              <w:jc w:val="right"/>
            </w:pPr>
            <w:r>
              <w:rPr>
                <w:sz w:val="18"/>
              </w:rPr>
              <w:t>52,7</w:t>
            </w:r>
          </w:p>
        </w:tc>
      </w:tr>
    </w:tbl>
    <w:p w:rsidR="002A6F4E" w:rsidRDefault="002A6F4E">
      <w:pPr>
        <w:spacing w:after="0"/>
      </w:pPr>
    </w:p>
    <w:p w:rsidR="002A6F4E" w:rsidRDefault="00D94E62" w:rsidP="00D70331">
      <w:pPr>
        <w:jc w:val="both"/>
      </w:pPr>
      <w:r>
        <w:t>Šifra 422 – Postrojenja i oprema ostvareni su u iznosu od 33.812,98 eura, te su niži za 49,0 % niže od istih 2024. godine. Isti se rashodi o</w:t>
      </w:r>
      <w:r w:rsidR="00D70331">
        <w:t>d</w:t>
      </w:r>
      <w:r>
        <w:t>nose na nabavku računalne opreme i opremanje dječjeg igrališta sa spravama.</w:t>
      </w:r>
    </w:p>
    <w:p w:rsidR="002A6F4E" w:rsidRDefault="002A6F4E"/>
    <w:p w:rsidR="002A6F4E" w:rsidRDefault="00D94E62">
      <w:pPr>
        <w:keepNext/>
        <w:spacing w:line="240" w:lineRule="auto"/>
        <w:jc w:val="center"/>
      </w:pPr>
      <w:r>
        <w:rPr>
          <w:sz w:val="28"/>
        </w:rPr>
        <w:t>Bilješka 31.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2A6F4E">
        <w:trPr>
          <w:cantSplit/>
        </w:trPr>
        <w:tc>
          <w:tcPr>
            <w:tcW w:w="700" w:type="dxa"/>
            <w:shd w:val="clear" w:color="auto" w:fill="E7F0F9"/>
            <w:tcMar>
              <w:top w:w="0" w:type="dxa"/>
              <w:bottom w:w="0" w:type="dxa"/>
            </w:tcMar>
            <w:vAlign w:val="center"/>
          </w:tcPr>
          <w:p w:rsidR="002A6F4E" w:rsidRDefault="00D94E62">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2A6F4E" w:rsidRDefault="00D94E62">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2A6F4E" w:rsidRDefault="00D94E62">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2A6F4E" w:rsidRDefault="00D94E62">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2A6F4E" w:rsidRDefault="00D94E62">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2A6F4E" w:rsidRDefault="00D94E62">
            <w:pPr>
              <w:keepNext/>
              <w:keepLines/>
              <w:spacing w:after="0" w:line="240" w:lineRule="auto"/>
              <w:jc w:val="center"/>
            </w:pPr>
            <w:r>
              <w:rPr>
                <w:b/>
                <w:sz w:val="18"/>
              </w:rPr>
              <w:t>Indeks (%)</w:t>
            </w:r>
          </w:p>
        </w:tc>
      </w:tr>
      <w:tr w:rsidR="002A6F4E">
        <w:trPr>
          <w:cantSplit/>
          <w:trHeight w:val="560"/>
        </w:trPr>
        <w:tc>
          <w:tcPr>
            <w:tcW w:w="700" w:type="dxa"/>
            <w:tcMar>
              <w:top w:w="0" w:type="dxa"/>
              <w:bottom w:w="0" w:type="dxa"/>
            </w:tcMar>
            <w:vAlign w:val="center"/>
          </w:tcPr>
          <w:p w:rsidR="002A6F4E" w:rsidRDefault="00D94E62">
            <w:pPr>
              <w:keepNext/>
              <w:keepLines/>
              <w:spacing w:after="0" w:line="240" w:lineRule="auto"/>
            </w:pPr>
            <w:r>
              <w:rPr>
                <w:sz w:val="18"/>
              </w:rPr>
              <w:t>426</w:t>
            </w:r>
          </w:p>
        </w:tc>
        <w:tc>
          <w:tcPr>
            <w:tcW w:w="3180" w:type="dxa"/>
            <w:tcMar>
              <w:top w:w="0" w:type="dxa"/>
              <w:bottom w:w="0" w:type="dxa"/>
            </w:tcMar>
            <w:vAlign w:val="center"/>
          </w:tcPr>
          <w:p w:rsidR="002A6F4E" w:rsidRDefault="00D94E62">
            <w:pPr>
              <w:keepNext/>
              <w:keepLines/>
              <w:spacing w:after="0" w:line="240" w:lineRule="auto"/>
            </w:pPr>
            <w:r>
              <w:rPr>
                <w:sz w:val="18"/>
              </w:rPr>
              <w:t>Nematerijalna proizvedena imovina (šifre 4261 do 4264)</w:t>
            </w:r>
          </w:p>
        </w:tc>
        <w:tc>
          <w:tcPr>
            <w:tcW w:w="700" w:type="dxa"/>
            <w:tcMar>
              <w:top w:w="0" w:type="dxa"/>
              <w:bottom w:w="0" w:type="dxa"/>
            </w:tcMar>
            <w:vAlign w:val="center"/>
          </w:tcPr>
          <w:p w:rsidR="002A6F4E" w:rsidRDefault="00D94E62">
            <w:pPr>
              <w:keepNext/>
              <w:keepLines/>
              <w:spacing w:after="0" w:line="240" w:lineRule="auto"/>
            </w:pPr>
            <w:r>
              <w:rPr>
                <w:sz w:val="18"/>
              </w:rPr>
              <w:t>426</w:t>
            </w:r>
          </w:p>
        </w:tc>
        <w:tc>
          <w:tcPr>
            <w:tcW w:w="1860" w:type="dxa"/>
            <w:tcMar>
              <w:top w:w="0" w:type="dxa"/>
              <w:bottom w:w="0" w:type="dxa"/>
            </w:tcMar>
            <w:vAlign w:val="center"/>
          </w:tcPr>
          <w:p w:rsidR="002A6F4E" w:rsidRDefault="00D94E62">
            <w:pPr>
              <w:keepNext/>
              <w:keepLines/>
              <w:spacing w:after="0" w:line="240" w:lineRule="auto"/>
              <w:jc w:val="right"/>
            </w:pPr>
            <w:r>
              <w:rPr>
                <w:sz w:val="18"/>
              </w:rPr>
              <w:t>23.125,00</w:t>
            </w:r>
          </w:p>
        </w:tc>
        <w:tc>
          <w:tcPr>
            <w:tcW w:w="1860" w:type="dxa"/>
            <w:tcMar>
              <w:top w:w="0" w:type="dxa"/>
              <w:bottom w:w="0" w:type="dxa"/>
            </w:tcMar>
            <w:vAlign w:val="center"/>
          </w:tcPr>
          <w:p w:rsidR="002A6F4E" w:rsidRDefault="00D94E62">
            <w:pPr>
              <w:keepNext/>
              <w:keepLines/>
              <w:spacing w:after="0" w:line="240" w:lineRule="auto"/>
              <w:jc w:val="right"/>
            </w:pPr>
            <w:r>
              <w:rPr>
                <w:sz w:val="18"/>
              </w:rPr>
              <w:t>45.025,00</w:t>
            </w:r>
          </w:p>
        </w:tc>
        <w:tc>
          <w:tcPr>
            <w:tcW w:w="700" w:type="dxa"/>
            <w:tcMar>
              <w:top w:w="0" w:type="dxa"/>
              <w:bottom w:w="0" w:type="dxa"/>
            </w:tcMar>
            <w:vAlign w:val="center"/>
          </w:tcPr>
          <w:p w:rsidR="002A6F4E" w:rsidRDefault="00D94E62">
            <w:pPr>
              <w:keepNext/>
              <w:keepLines/>
              <w:spacing w:after="0" w:line="240" w:lineRule="auto"/>
              <w:jc w:val="right"/>
            </w:pPr>
            <w:r>
              <w:rPr>
                <w:sz w:val="18"/>
              </w:rPr>
              <w:t>194,7</w:t>
            </w:r>
          </w:p>
        </w:tc>
      </w:tr>
    </w:tbl>
    <w:p w:rsidR="002A6F4E" w:rsidRDefault="002A6F4E">
      <w:pPr>
        <w:spacing w:after="0"/>
      </w:pPr>
    </w:p>
    <w:p w:rsidR="002A6F4E" w:rsidRDefault="00D94E62" w:rsidP="00D70331">
      <w:pPr>
        <w:jc w:val="both"/>
      </w:pPr>
      <w:r>
        <w:t xml:space="preserve">Šifra 426 - Nematerijalna proizvedena imovina u 2025. godini odnosi se na  rashode za izradu idejnog rješenja proširenja Groblja u </w:t>
      </w:r>
      <w:proofErr w:type="spellStart"/>
      <w:r>
        <w:t>Liču</w:t>
      </w:r>
      <w:proofErr w:type="spellEnd"/>
      <w:r>
        <w:t xml:space="preserve"> i izradu plana javne rasvjete na području Općine </w:t>
      </w:r>
      <w:proofErr w:type="spellStart"/>
      <w:r>
        <w:t>Fužine</w:t>
      </w:r>
      <w:proofErr w:type="spellEnd"/>
      <w:r>
        <w:t xml:space="preserve">, te izrada prometnih rješenja za prometnice na području Općine </w:t>
      </w:r>
      <w:proofErr w:type="spellStart"/>
      <w:r>
        <w:t>Fužine</w:t>
      </w:r>
      <w:proofErr w:type="spellEnd"/>
      <w:r>
        <w:t xml:space="preserve"> i autobusnog stajališta </w:t>
      </w:r>
      <w:proofErr w:type="spellStart"/>
      <w:r>
        <w:t>Fužine</w:t>
      </w:r>
      <w:proofErr w:type="spellEnd"/>
      <w:r>
        <w:t>.</w:t>
      </w:r>
    </w:p>
    <w:p w:rsidR="002A6F4E" w:rsidRDefault="002A6F4E"/>
    <w:p w:rsidR="002A6F4E" w:rsidRDefault="00D94E62">
      <w:pPr>
        <w:keepNext/>
        <w:spacing w:line="240" w:lineRule="auto"/>
        <w:jc w:val="center"/>
      </w:pPr>
      <w:r>
        <w:rPr>
          <w:sz w:val="28"/>
        </w:rPr>
        <w:t>Bilješka 32.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2A6F4E">
        <w:trPr>
          <w:cantSplit/>
        </w:trPr>
        <w:tc>
          <w:tcPr>
            <w:tcW w:w="700" w:type="dxa"/>
            <w:shd w:val="clear" w:color="auto" w:fill="E7F0F9"/>
            <w:tcMar>
              <w:top w:w="0" w:type="dxa"/>
              <w:bottom w:w="0" w:type="dxa"/>
            </w:tcMar>
            <w:vAlign w:val="center"/>
          </w:tcPr>
          <w:p w:rsidR="002A6F4E" w:rsidRDefault="00D94E62">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2A6F4E" w:rsidRDefault="00D94E62">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2A6F4E" w:rsidRDefault="00D94E62">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2A6F4E" w:rsidRDefault="00D94E62">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2A6F4E" w:rsidRDefault="00D94E62">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2A6F4E" w:rsidRDefault="00D94E62">
            <w:pPr>
              <w:keepNext/>
              <w:keepLines/>
              <w:spacing w:after="0" w:line="240" w:lineRule="auto"/>
              <w:jc w:val="center"/>
            </w:pPr>
            <w:r>
              <w:rPr>
                <w:b/>
                <w:sz w:val="18"/>
              </w:rPr>
              <w:t>Indeks (%)</w:t>
            </w:r>
          </w:p>
        </w:tc>
      </w:tr>
      <w:tr w:rsidR="002A6F4E">
        <w:trPr>
          <w:cantSplit/>
          <w:trHeight w:val="560"/>
        </w:trPr>
        <w:tc>
          <w:tcPr>
            <w:tcW w:w="700" w:type="dxa"/>
            <w:tcMar>
              <w:top w:w="0" w:type="dxa"/>
              <w:bottom w:w="0" w:type="dxa"/>
            </w:tcMar>
            <w:vAlign w:val="center"/>
          </w:tcPr>
          <w:p w:rsidR="002A6F4E" w:rsidRDefault="00D94E62">
            <w:pPr>
              <w:keepNext/>
              <w:keepLines/>
              <w:spacing w:after="0" w:line="240" w:lineRule="auto"/>
            </w:pPr>
            <w:r>
              <w:rPr>
                <w:sz w:val="18"/>
              </w:rPr>
              <w:t>542</w:t>
            </w:r>
          </w:p>
        </w:tc>
        <w:tc>
          <w:tcPr>
            <w:tcW w:w="3180" w:type="dxa"/>
            <w:tcMar>
              <w:top w:w="0" w:type="dxa"/>
              <w:bottom w:w="0" w:type="dxa"/>
            </w:tcMar>
            <w:vAlign w:val="center"/>
          </w:tcPr>
          <w:p w:rsidR="002A6F4E" w:rsidRDefault="00D94E62">
            <w:pPr>
              <w:keepNext/>
              <w:keepLines/>
              <w:spacing w:after="0" w:line="240" w:lineRule="auto"/>
            </w:pPr>
            <w:r>
              <w:rPr>
                <w:sz w:val="18"/>
              </w:rPr>
              <w:t>Otplata glavnice primljenih kredita i zajmova od kreditnih i ostalih financijskih institucija u javnom sektoru (šifre 5422 do 5424)</w:t>
            </w:r>
          </w:p>
        </w:tc>
        <w:tc>
          <w:tcPr>
            <w:tcW w:w="700" w:type="dxa"/>
            <w:tcMar>
              <w:top w:w="0" w:type="dxa"/>
              <w:bottom w:w="0" w:type="dxa"/>
            </w:tcMar>
            <w:vAlign w:val="center"/>
          </w:tcPr>
          <w:p w:rsidR="002A6F4E" w:rsidRDefault="00D94E62">
            <w:pPr>
              <w:keepNext/>
              <w:keepLines/>
              <w:spacing w:after="0" w:line="240" w:lineRule="auto"/>
            </w:pPr>
            <w:r>
              <w:rPr>
                <w:sz w:val="18"/>
              </w:rPr>
              <w:t>542</w:t>
            </w:r>
          </w:p>
        </w:tc>
        <w:tc>
          <w:tcPr>
            <w:tcW w:w="1860" w:type="dxa"/>
            <w:tcMar>
              <w:top w:w="0" w:type="dxa"/>
              <w:bottom w:w="0" w:type="dxa"/>
            </w:tcMar>
            <w:vAlign w:val="center"/>
          </w:tcPr>
          <w:p w:rsidR="002A6F4E" w:rsidRDefault="00D94E62">
            <w:pPr>
              <w:keepNext/>
              <w:keepLines/>
              <w:spacing w:after="0" w:line="240" w:lineRule="auto"/>
              <w:jc w:val="right"/>
            </w:pPr>
            <w:r>
              <w:rPr>
                <w:sz w:val="18"/>
              </w:rPr>
              <w:t>101.908,62</w:t>
            </w:r>
          </w:p>
        </w:tc>
        <w:tc>
          <w:tcPr>
            <w:tcW w:w="1860" w:type="dxa"/>
            <w:tcMar>
              <w:top w:w="0" w:type="dxa"/>
              <w:bottom w:w="0" w:type="dxa"/>
            </w:tcMar>
            <w:vAlign w:val="center"/>
          </w:tcPr>
          <w:p w:rsidR="002A6F4E" w:rsidRDefault="00D94E62">
            <w:pPr>
              <w:keepNext/>
              <w:keepLines/>
              <w:spacing w:after="0" w:line="240" w:lineRule="auto"/>
              <w:jc w:val="right"/>
            </w:pPr>
            <w:r>
              <w:rPr>
                <w:sz w:val="18"/>
              </w:rPr>
              <w:t>98.769,14</w:t>
            </w:r>
          </w:p>
        </w:tc>
        <w:tc>
          <w:tcPr>
            <w:tcW w:w="700" w:type="dxa"/>
            <w:tcMar>
              <w:top w:w="0" w:type="dxa"/>
              <w:bottom w:w="0" w:type="dxa"/>
            </w:tcMar>
            <w:vAlign w:val="center"/>
          </w:tcPr>
          <w:p w:rsidR="002A6F4E" w:rsidRDefault="00D94E62">
            <w:pPr>
              <w:keepNext/>
              <w:keepLines/>
              <w:spacing w:after="0" w:line="240" w:lineRule="auto"/>
              <w:jc w:val="right"/>
            </w:pPr>
            <w:r>
              <w:rPr>
                <w:sz w:val="18"/>
              </w:rPr>
              <w:t>96,9</w:t>
            </w:r>
          </w:p>
        </w:tc>
      </w:tr>
    </w:tbl>
    <w:p w:rsidR="002A6F4E" w:rsidRDefault="002A6F4E">
      <w:pPr>
        <w:spacing w:after="0"/>
      </w:pPr>
    </w:p>
    <w:p w:rsidR="002A6F4E" w:rsidRDefault="00D94E62" w:rsidP="00D70331">
      <w:pPr>
        <w:jc w:val="both"/>
      </w:pPr>
      <w:r>
        <w:lastRenderedPageBreak/>
        <w:t xml:space="preserve">Šifra 542 – Otplata glavnice primljenih kredita i zajmova od kreditnih i ostalih institucija u javnom sektoru u iznosu od 98.769,14 eura odnosi se na otplatu rata kredita za koje se Općina </w:t>
      </w:r>
      <w:proofErr w:type="spellStart"/>
      <w:r>
        <w:t>Fužine</w:t>
      </w:r>
      <w:proofErr w:type="spellEnd"/>
      <w:r>
        <w:t xml:space="preserve"> zadužila i to: izgradnja dječjeg vrtića u </w:t>
      </w:r>
      <w:proofErr w:type="spellStart"/>
      <w:r>
        <w:t>Fužinama</w:t>
      </w:r>
      <w:proofErr w:type="spellEnd"/>
      <w:r>
        <w:t xml:space="preserve">, izgradnja prometnice Kraljev jarak u zoni TN T1-2 Vrelo u </w:t>
      </w:r>
      <w:proofErr w:type="spellStart"/>
      <w:r>
        <w:t>Fužinama</w:t>
      </w:r>
      <w:proofErr w:type="spellEnd"/>
      <w:r>
        <w:t xml:space="preserve">, energetska obnova javne rasvjete i razvoj vodoopskrbe i sustava odvodnje na području Općine </w:t>
      </w:r>
      <w:proofErr w:type="spellStart"/>
      <w:r>
        <w:t>Fužine</w:t>
      </w:r>
      <w:proofErr w:type="spellEnd"/>
      <w:r>
        <w:t>.</w:t>
      </w:r>
    </w:p>
    <w:p w:rsidR="002A6F4E" w:rsidRDefault="002A6F4E"/>
    <w:p w:rsidR="002A6F4E" w:rsidRDefault="00D94E62">
      <w:pPr>
        <w:keepNext/>
        <w:spacing w:line="240" w:lineRule="auto"/>
        <w:jc w:val="center"/>
      </w:pPr>
      <w:r>
        <w:rPr>
          <w:sz w:val="28"/>
        </w:rPr>
        <w:t>Bilješka 33.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2A6F4E">
        <w:trPr>
          <w:cantSplit/>
        </w:trPr>
        <w:tc>
          <w:tcPr>
            <w:tcW w:w="700" w:type="dxa"/>
            <w:shd w:val="clear" w:color="auto" w:fill="E7F0F9"/>
            <w:tcMar>
              <w:top w:w="0" w:type="dxa"/>
              <w:bottom w:w="0" w:type="dxa"/>
            </w:tcMar>
            <w:vAlign w:val="center"/>
          </w:tcPr>
          <w:p w:rsidR="002A6F4E" w:rsidRDefault="00D94E62">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2A6F4E" w:rsidRDefault="00D94E62">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2A6F4E" w:rsidRDefault="00D94E62">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2A6F4E" w:rsidRDefault="00D94E62">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2A6F4E" w:rsidRDefault="00D94E62">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2A6F4E" w:rsidRDefault="00D94E62">
            <w:pPr>
              <w:keepNext/>
              <w:keepLines/>
              <w:spacing w:after="0" w:line="240" w:lineRule="auto"/>
              <w:jc w:val="center"/>
            </w:pPr>
            <w:r>
              <w:rPr>
                <w:b/>
                <w:sz w:val="18"/>
              </w:rPr>
              <w:t>Indeks (%)</w:t>
            </w:r>
          </w:p>
        </w:tc>
      </w:tr>
      <w:tr w:rsidR="002A6F4E">
        <w:trPr>
          <w:cantSplit/>
          <w:trHeight w:val="560"/>
        </w:trPr>
        <w:tc>
          <w:tcPr>
            <w:tcW w:w="700" w:type="dxa"/>
            <w:tcMar>
              <w:top w:w="0" w:type="dxa"/>
              <w:bottom w:w="0" w:type="dxa"/>
            </w:tcMar>
            <w:vAlign w:val="center"/>
          </w:tcPr>
          <w:p w:rsidR="002A6F4E" w:rsidRDefault="002A6F4E">
            <w:pPr>
              <w:keepNext/>
              <w:keepLines/>
              <w:spacing w:after="0" w:line="240" w:lineRule="auto"/>
            </w:pPr>
          </w:p>
        </w:tc>
        <w:tc>
          <w:tcPr>
            <w:tcW w:w="3180" w:type="dxa"/>
            <w:tcMar>
              <w:top w:w="0" w:type="dxa"/>
              <w:bottom w:w="0" w:type="dxa"/>
            </w:tcMar>
            <w:vAlign w:val="center"/>
          </w:tcPr>
          <w:p w:rsidR="002A6F4E" w:rsidRDefault="00D94E62">
            <w:pPr>
              <w:keepNext/>
              <w:keepLines/>
              <w:spacing w:after="0" w:line="240" w:lineRule="auto"/>
            </w:pPr>
            <w:r>
              <w:rPr>
                <w:sz w:val="18"/>
              </w:rPr>
              <w:t>UKUPNI PRIHODI I PRIMICI (šifre X067+8)</w:t>
            </w:r>
          </w:p>
        </w:tc>
        <w:tc>
          <w:tcPr>
            <w:tcW w:w="700" w:type="dxa"/>
            <w:tcMar>
              <w:top w:w="0" w:type="dxa"/>
              <w:bottom w:w="0" w:type="dxa"/>
            </w:tcMar>
            <w:vAlign w:val="center"/>
          </w:tcPr>
          <w:p w:rsidR="002A6F4E" w:rsidRDefault="00D94E62">
            <w:pPr>
              <w:keepNext/>
              <w:keepLines/>
              <w:spacing w:after="0" w:line="240" w:lineRule="auto"/>
            </w:pPr>
            <w:r>
              <w:rPr>
                <w:sz w:val="18"/>
              </w:rPr>
              <w:t>X678</w:t>
            </w:r>
          </w:p>
        </w:tc>
        <w:tc>
          <w:tcPr>
            <w:tcW w:w="1860" w:type="dxa"/>
            <w:tcMar>
              <w:top w:w="0" w:type="dxa"/>
              <w:bottom w:w="0" w:type="dxa"/>
            </w:tcMar>
            <w:vAlign w:val="center"/>
          </w:tcPr>
          <w:p w:rsidR="002A6F4E" w:rsidRDefault="00D94E62">
            <w:pPr>
              <w:keepNext/>
              <w:keepLines/>
              <w:spacing w:after="0" w:line="240" w:lineRule="auto"/>
              <w:jc w:val="right"/>
            </w:pPr>
            <w:r>
              <w:rPr>
                <w:sz w:val="18"/>
              </w:rPr>
              <w:t>3.154.696,51</w:t>
            </w:r>
          </w:p>
        </w:tc>
        <w:tc>
          <w:tcPr>
            <w:tcW w:w="1860" w:type="dxa"/>
            <w:tcMar>
              <w:top w:w="0" w:type="dxa"/>
              <w:bottom w:w="0" w:type="dxa"/>
            </w:tcMar>
            <w:vAlign w:val="center"/>
          </w:tcPr>
          <w:p w:rsidR="002A6F4E" w:rsidRDefault="00D94E62">
            <w:pPr>
              <w:keepNext/>
              <w:keepLines/>
              <w:spacing w:after="0" w:line="240" w:lineRule="auto"/>
              <w:jc w:val="right"/>
            </w:pPr>
            <w:r>
              <w:rPr>
                <w:sz w:val="18"/>
              </w:rPr>
              <w:t>3.345.063,75</w:t>
            </w:r>
          </w:p>
        </w:tc>
        <w:tc>
          <w:tcPr>
            <w:tcW w:w="700" w:type="dxa"/>
            <w:tcMar>
              <w:top w:w="0" w:type="dxa"/>
              <w:bottom w:w="0" w:type="dxa"/>
            </w:tcMar>
            <w:vAlign w:val="center"/>
          </w:tcPr>
          <w:p w:rsidR="002A6F4E" w:rsidRDefault="00D94E62">
            <w:pPr>
              <w:keepNext/>
              <w:keepLines/>
              <w:spacing w:after="0" w:line="240" w:lineRule="auto"/>
              <w:jc w:val="right"/>
            </w:pPr>
            <w:r>
              <w:rPr>
                <w:sz w:val="18"/>
              </w:rPr>
              <w:t>106,0</w:t>
            </w:r>
          </w:p>
        </w:tc>
      </w:tr>
    </w:tbl>
    <w:p w:rsidR="002A6F4E" w:rsidRDefault="002A6F4E">
      <w:pPr>
        <w:spacing w:after="0"/>
      </w:pPr>
    </w:p>
    <w:p w:rsidR="002A6F4E" w:rsidRDefault="00D94E62" w:rsidP="00D70331">
      <w:pPr>
        <w:jc w:val="both"/>
      </w:pPr>
      <w:r>
        <w:t>Šifra X678 – Ukupni prihodi i primici ostvareni su u iznosu od 3.345.063,75 eura što je za 6,0 % više u odnosu na 2024. godinu. </w:t>
      </w:r>
    </w:p>
    <w:p w:rsidR="002A6F4E" w:rsidRDefault="002A6F4E"/>
    <w:p w:rsidR="002A6F4E" w:rsidRDefault="00D94E62">
      <w:pPr>
        <w:keepNext/>
        <w:spacing w:line="240" w:lineRule="auto"/>
        <w:jc w:val="center"/>
      </w:pPr>
      <w:r>
        <w:rPr>
          <w:sz w:val="28"/>
        </w:rPr>
        <w:t>Bilješka 34.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2A6F4E">
        <w:trPr>
          <w:cantSplit/>
        </w:trPr>
        <w:tc>
          <w:tcPr>
            <w:tcW w:w="700" w:type="dxa"/>
            <w:shd w:val="clear" w:color="auto" w:fill="E7F0F9"/>
            <w:tcMar>
              <w:top w:w="0" w:type="dxa"/>
              <w:bottom w:w="0" w:type="dxa"/>
            </w:tcMar>
            <w:vAlign w:val="center"/>
          </w:tcPr>
          <w:p w:rsidR="002A6F4E" w:rsidRDefault="00D94E62">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2A6F4E" w:rsidRDefault="00D94E62">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2A6F4E" w:rsidRDefault="00D94E62">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2A6F4E" w:rsidRDefault="00D94E62">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2A6F4E" w:rsidRDefault="00D94E62">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2A6F4E" w:rsidRDefault="00D94E62">
            <w:pPr>
              <w:keepNext/>
              <w:keepLines/>
              <w:spacing w:after="0" w:line="240" w:lineRule="auto"/>
              <w:jc w:val="center"/>
            </w:pPr>
            <w:r>
              <w:rPr>
                <w:b/>
                <w:sz w:val="18"/>
              </w:rPr>
              <w:t>Indeks (%)</w:t>
            </w:r>
          </w:p>
        </w:tc>
      </w:tr>
      <w:tr w:rsidR="002A6F4E">
        <w:trPr>
          <w:cantSplit/>
          <w:trHeight w:val="560"/>
        </w:trPr>
        <w:tc>
          <w:tcPr>
            <w:tcW w:w="700" w:type="dxa"/>
            <w:tcMar>
              <w:top w:w="0" w:type="dxa"/>
              <w:bottom w:w="0" w:type="dxa"/>
            </w:tcMar>
            <w:vAlign w:val="center"/>
          </w:tcPr>
          <w:p w:rsidR="002A6F4E" w:rsidRDefault="002A6F4E">
            <w:pPr>
              <w:keepNext/>
              <w:keepLines/>
              <w:spacing w:after="0" w:line="240" w:lineRule="auto"/>
            </w:pPr>
          </w:p>
        </w:tc>
        <w:tc>
          <w:tcPr>
            <w:tcW w:w="3180" w:type="dxa"/>
            <w:tcMar>
              <w:top w:w="0" w:type="dxa"/>
              <w:bottom w:w="0" w:type="dxa"/>
            </w:tcMar>
            <w:vAlign w:val="center"/>
          </w:tcPr>
          <w:p w:rsidR="002A6F4E" w:rsidRDefault="00D94E62">
            <w:pPr>
              <w:keepNext/>
              <w:keepLines/>
              <w:spacing w:after="0" w:line="240" w:lineRule="auto"/>
            </w:pPr>
            <w:r>
              <w:rPr>
                <w:sz w:val="18"/>
              </w:rPr>
              <w:t>UKUPNI RASHODI I IZDACI (šifre Y034+5)</w:t>
            </w:r>
          </w:p>
        </w:tc>
        <w:tc>
          <w:tcPr>
            <w:tcW w:w="700" w:type="dxa"/>
            <w:tcMar>
              <w:top w:w="0" w:type="dxa"/>
              <w:bottom w:w="0" w:type="dxa"/>
            </w:tcMar>
            <w:vAlign w:val="center"/>
          </w:tcPr>
          <w:p w:rsidR="002A6F4E" w:rsidRDefault="00D94E62">
            <w:pPr>
              <w:keepNext/>
              <w:keepLines/>
              <w:spacing w:after="0" w:line="240" w:lineRule="auto"/>
            </w:pPr>
            <w:r>
              <w:rPr>
                <w:sz w:val="18"/>
              </w:rPr>
              <w:t>Y345</w:t>
            </w:r>
          </w:p>
        </w:tc>
        <w:tc>
          <w:tcPr>
            <w:tcW w:w="1860" w:type="dxa"/>
            <w:tcMar>
              <w:top w:w="0" w:type="dxa"/>
              <w:bottom w:w="0" w:type="dxa"/>
            </w:tcMar>
            <w:vAlign w:val="center"/>
          </w:tcPr>
          <w:p w:rsidR="002A6F4E" w:rsidRDefault="00D94E62">
            <w:pPr>
              <w:keepNext/>
              <w:keepLines/>
              <w:spacing w:after="0" w:line="240" w:lineRule="auto"/>
              <w:jc w:val="right"/>
            </w:pPr>
            <w:r>
              <w:rPr>
                <w:sz w:val="18"/>
              </w:rPr>
              <w:t>3.277.894,83</w:t>
            </w:r>
          </w:p>
        </w:tc>
        <w:tc>
          <w:tcPr>
            <w:tcW w:w="1860" w:type="dxa"/>
            <w:tcMar>
              <w:top w:w="0" w:type="dxa"/>
              <w:bottom w:w="0" w:type="dxa"/>
            </w:tcMar>
            <w:vAlign w:val="center"/>
          </w:tcPr>
          <w:p w:rsidR="002A6F4E" w:rsidRDefault="00D94E62">
            <w:pPr>
              <w:keepNext/>
              <w:keepLines/>
              <w:spacing w:after="0" w:line="240" w:lineRule="auto"/>
              <w:jc w:val="right"/>
            </w:pPr>
            <w:r>
              <w:rPr>
                <w:sz w:val="18"/>
              </w:rPr>
              <w:t>3.126.133,46</w:t>
            </w:r>
          </w:p>
        </w:tc>
        <w:tc>
          <w:tcPr>
            <w:tcW w:w="700" w:type="dxa"/>
            <w:tcMar>
              <w:top w:w="0" w:type="dxa"/>
              <w:bottom w:w="0" w:type="dxa"/>
            </w:tcMar>
            <w:vAlign w:val="center"/>
          </w:tcPr>
          <w:p w:rsidR="002A6F4E" w:rsidRDefault="00D94E62">
            <w:pPr>
              <w:keepNext/>
              <w:keepLines/>
              <w:spacing w:after="0" w:line="240" w:lineRule="auto"/>
              <w:jc w:val="right"/>
            </w:pPr>
            <w:r>
              <w:rPr>
                <w:sz w:val="18"/>
              </w:rPr>
              <w:t>95,4</w:t>
            </w:r>
          </w:p>
        </w:tc>
      </w:tr>
    </w:tbl>
    <w:p w:rsidR="002A6F4E" w:rsidRDefault="002A6F4E">
      <w:pPr>
        <w:spacing w:after="0"/>
      </w:pPr>
    </w:p>
    <w:p w:rsidR="002A6F4E" w:rsidRDefault="00D94E62" w:rsidP="00D70331">
      <w:pPr>
        <w:jc w:val="both"/>
      </w:pPr>
      <w:r>
        <w:t xml:space="preserve">Šifra Y345 – Ukupni rashodi i izdaci ostvareni su u iznosu od 3.126.133,46 eura što predstavlja smanjenje 4,6 % u odnosu na prošlu godinu u istom razdoblju zbog </w:t>
      </w:r>
      <w:proofErr w:type="spellStart"/>
      <w:r>
        <w:t>nerealizacije</w:t>
      </w:r>
      <w:proofErr w:type="spellEnd"/>
      <w:r>
        <w:t xml:space="preserve"> prijavljenih projekata pa samim time nije ni došlo do realizacije planiranih projekata.</w:t>
      </w:r>
    </w:p>
    <w:p w:rsidR="002A6F4E" w:rsidRDefault="002A6F4E"/>
    <w:p w:rsidR="002A6F4E" w:rsidRDefault="00D94E62">
      <w:pPr>
        <w:keepNext/>
        <w:spacing w:line="240" w:lineRule="auto"/>
        <w:jc w:val="center"/>
      </w:pPr>
      <w:r>
        <w:rPr>
          <w:sz w:val="28"/>
        </w:rPr>
        <w:t>Bilješka 35.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2A6F4E">
        <w:trPr>
          <w:cantSplit/>
        </w:trPr>
        <w:tc>
          <w:tcPr>
            <w:tcW w:w="700" w:type="dxa"/>
            <w:shd w:val="clear" w:color="auto" w:fill="E7F0F9"/>
            <w:tcMar>
              <w:top w:w="0" w:type="dxa"/>
              <w:bottom w:w="0" w:type="dxa"/>
            </w:tcMar>
            <w:vAlign w:val="center"/>
          </w:tcPr>
          <w:p w:rsidR="002A6F4E" w:rsidRDefault="00D94E62">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2A6F4E" w:rsidRDefault="00D94E62">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2A6F4E" w:rsidRDefault="00D94E62">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2A6F4E" w:rsidRDefault="00D94E62">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2A6F4E" w:rsidRDefault="00D94E62">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2A6F4E" w:rsidRDefault="00D94E62">
            <w:pPr>
              <w:keepNext/>
              <w:keepLines/>
              <w:spacing w:after="0" w:line="240" w:lineRule="auto"/>
              <w:jc w:val="center"/>
            </w:pPr>
            <w:r>
              <w:rPr>
                <w:b/>
                <w:sz w:val="18"/>
              </w:rPr>
              <w:t>Indeks (%)</w:t>
            </w:r>
          </w:p>
        </w:tc>
      </w:tr>
      <w:tr w:rsidR="002A6F4E">
        <w:trPr>
          <w:cantSplit/>
          <w:trHeight w:val="560"/>
        </w:trPr>
        <w:tc>
          <w:tcPr>
            <w:tcW w:w="700" w:type="dxa"/>
            <w:tcMar>
              <w:top w:w="0" w:type="dxa"/>
              <w:bottom w:w="0" w:type="dxa"/>
            </w:tcMar>
            <w:vAlign w:val="center"/>
          </w:tcPr>
          <w:p w:rsidR="002A6F4E" w:rsidRDefault="002A6F4E">
            <w:pPr>
              <w:keepNext/>
              <w:keepLines/>
              <w:spacing w:after="0" w:line="240" w:lineRule="auto"/>
            </w:pPr>
          </w:p>
        </w:tc>
        <w:tc>
          <w:tcPr>
            <w:tcW w:w="3180" w:type="dxa"/>
            <w:tcMar>
              <w:top w:w="0" w:type="dxa"/>
              <w:bottom w:w="0" w:type="dxa"/>
            </w:tcMar>
            <w:vAlign w:val="center"/>
          </w:tcPr>
          <w:p w:rsidR="002A6F4E" w:rsidRDefault="00D94E62">
            <w:pPr>
              <w:keepNext/>
              <w:keepLines/>
              <w:spacing w:after="0" w:line="240" w:lineRule="auto"/>
            </w:pPr>
            <w:r>
              <w:rPr>
                <w:sz w:val="18"/>
              </w:rPr>
              <w:t>VIŠAK PRIHODA I PRIMITAKA (šifre X678-Y345)</w:t>
            </w:r>
          </w:p>
        </w:tc>
        <w:tc>
          <w:tcPr>
            <w:tcW w:w="700" w:type="dxa"/>
            <w:tcMar>
              <w:top w:w="0" w:type="dxa"/>
              <w:bottom w:w="0" w:type="dxa"/>
            </w:tcMar>
            <w:vAlign w:val="center"/>
          </w:tcPr>
          <w:p w:rsidR="002A6F4E" w:rsidRDefault="00D94E62">
            <w:pPr>
              <w:keepNext/>
              <w:keepLines/>
              <w:spacing w:after="0" w:line="240" w:lineRule="auto"/>
            </w:pPr>
            <w:r>
              <w:rPr>
                <w:sz w:val="18"/>
              </w:rPr>
              <w:t>X005</w:t>
            </w:r>
          </w:p>
        </w:tc>
        <w:tc>
          <w:tcPr>
            <w:tcW w:w="1860" w:type="dxa"/>
            <w:tcMar>
              <w:top w:w="0" w:type="dxa"/>
              <w:bottom w:w="0" w:type="dxa"/>
            </w:tcMar>
            <w:vAlign w:val="center"/>
          </w:tcPr>
          <w:p w:rsidR="002A6F4E" w:rsidRDefault="00D94E62">
            <w:pPr>
              <w:keepNext/>
              <w:keepLines/>
              <w:spacing w:after="0" w:line="240" w:lineRule="auto"/>
              <w:jc w:val="right"/>
            </w:pPr>
            <w:r>
              <w:rPr>
                <w:sz w:val="18"/>
              </w:rPr>
              <w:t>0,00</w:t>
            </w:r>
          </w:p>
        </w:tc>
        <w:tc>
          <w:tcPr>
            <w:tcW w:w="1860" w:type="dxa"/>
            <w:tcMar>
              <w:top w:w="0" w:type="dxa"/>
              <w:bottom w:w="0" w:type="dxa"/>
            </w:tcMar>
            <w:vAlign w:val="center"/>
          </w:tcPr>
          <w:p w:rsidR="002A6F4E" w:rsidRDefault="00D94E62">
            <w:pPr>
              <w:keepNext/>
              <w:keepLines/>
              <w:spacing w:after="0" w:line="240" w:lineRule="auto"/>
              <w:jc w:val="right"/>
            </w:pPr>
            <w:r>
              <w:rPr>
                <w:sz w:val="18"/>
              </w:rPr>
              <w:t>218.930,29</w:t>
            </w:r>
          </w:p>
        </w:tc>
        <w:tc>
          <w:tcPr>
            <w:tcW w:w="700" w:type="dxa"/>
            <w:tcMar>
              <w:top w:w="0" w:type="dxa"/>
              <w:bottom w:w="0" w:type="dxa"/>
            </w:tcMar>
            <w:vAlign w:val="center"/>
          </w:tcPr>
          <w:p w:rsidR="002A6F4E" w:rsidRDefault="00D94E62">
            <w:pPr>
              <w:keepNext/>
              <w:keepLines/>
              <w:spacing w:after="0" w:line="240" w:lineRule="auto"/>
              <w:jc w:val="right"/>
            </w:pPr>
            <w:r>
              <w:rPr>
                <w:sz w:val="18"/>
              </w:rPr>
              <w:t>-</w:t>
            </w:r>
          </w:p>
        </w:tc>
      </w:tr>
    </w:tbl>
    <w:p w:rsidR="002A6F4E" w:rsidRDefault="002A6F4E">
      <w:pPr>
        <w:spacing w:after="0"/>
      </w:pPr>
    </w:p>
    <w:p w:rsidR="002A6F4E" w:rsidRDefault="00D94E62" w:rsidP="00D70331">
      <w:pPr>
        <w:jc w:val="both"/>
      </w:pPr>
      <w:r>
        <w:t>Šifra X005 – Višak prihoda i primitaka za pokriće u slijedećem razdoblju iznosi 218.930,29 eura.</w:t>
      </w:r>
    </w:p>
    <w:p w:rsidR="002A6F4E" w:rsidRDefault="00D94E62" w:rsidP="00D70331">
      <w:pPr>
        <w:jc w:val="both"/>
      </w:pPr>
      <w:r>
        <w:t> </w:t>
      </w:r>
    </w:p>
    <w:p w:rsidR="002A6F4E" w:rsidRDefault="002A6F4E"/>
    <w:p w:rsidR="002A6F4E" w:rsidRDefault="00D94E62">
      <w:pPr>
        <w:keepNext/>
        <w:spacing w:line="240" w:lineRule="auto"/>
        <w:jc w:val="center"/>
      </w:pPr>
      <w:r>
        <w:rPr>
          <w:b/>
          <w:sz w:val="28"/>
        </w:rPr>
        <w:lastRenderedPageBreak/>
        <w:t>Bilanca</w:t>
      </w:r>
    </w:p>
    <w:p w:rsidR="002A6F4E" w:rsidRDefault="00D94E62">
      <w:pPr>
        <w:keepNext/>
        <w:spacing w:line="240" w:lineRule="auto"/>
        <w:jc w:val="center"/>
      </w:pPr>
      <w:r>
        <w:rPr>
          <w:sz w:val="28"/>
        </w:rPr>
        <w:t>Bilješka 36.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2A6F4E">
        <w:trPr>
          <w:cantSplit/>
        </w:trPr>
        <w:tc>
          <w:tcPr>
            <w:tcW w:w="700" w:type="dxa"/>
            <w:shd w:val="clear" w:color="auto" w:fill="E7F0F9"/>
            <w:tcMar>
              <w:top w:w="0" w:type="dxa"/>
              <w:bottom w:w="0" w:type="dxa"/>
            </w:tcMar>
            <w:vAlign w:val="center"/>
          </w:tcPr>
          <w:p w:rsidR="002A6F4E" w:rsidRDefault="00D94E62">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2A6F4E" w:rsidRDefault="00D94E62">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2A6F4E" w:rsidRDefault="00D94E62">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2A6F4E" w:rsidRDefault="00D94E62">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2A6F4E" w:rsidRDefault="00D94E62">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2A6F4E" w:rsidRDefault="00D94E62">
            <w:pPr>
              <w:keepNext/>
              <w:keepLines/>
              <w:spacing w:after="0" w:line="240" w:lineRule="auto"/>
              <w:jc w:val="center"/>
            </w:pPr>
            <w:r>
              <w:rPr>
                <w:b/>
                <w:sz w:val="18"/>
              </w:rPr>
              <w:t>Indeks (%)</w:t>
            </w:r>
          </w:p>
        </w:tc>
      </w:tr>
      <w:tr w:rsidR="002A6F4E">
        <w:trPr>
          <w:cantSplit/>
          <w:trHeight w:val="560"/>
        </w:trPr>
        <w:tc>
          <w:tcPr>
            <w:tcW w:w="700" w:type="dxa"/>
            <w:tcMar>
              <w:top w:w="0" w:type="dxa"/>
              <w:bottom w:w="0" w:type="dxa"/>
            </w:tcMar>
            <w:vAlign w:val="center"/>
          </w:tcPr>
          <w:p w:rsidR="002A6F4E" w:rsidRDefault="00D94E62">
            <w:pPr>
              <w:keepNext/>
              <w:keepLines/>
              <w:spacing w:after="0" w:line="240" w:lineRule="auto"/>
            </w:pPr>
            <w:r>
              <w:rPr>
                <w:sz w:val="18"/>
              </w:rPr>
              <w:t>0</w:t>
            </w:r>
          </w:p>
        </w:tc>
        <w:tc>
          <w:tcPr>
            <w:tcW w:w="3180" w:type="dxa"/>
            <w:tcMar>
              <w:top w:w="0" w:type="dxa"/>
              <w:bottom w:w="0" w:type="dxa"/>
            </w:tcMar>
            <w:vAlign w:val="center"/>
          </w:tcPr>
          <w:p w:rsidR="002A6F4E" w:rsidRDefault="00D94E62">
            <w:pPr>
              <w:keepNext/>
              <w:keepLines/>
              <w:spacing w:after="0" w:line="240" w:lineRule="auto"/>
            </w:pPr>
            <w:r>
              <w:rPr>
                <w:sz w:val="18"/>
              </w:rPr>
              <w:t>Nefinancijska imovina (šifre 01+02+03+04+05+06)</w:t>
            </w:r>
          </w:p>
        </w:tc>
        <w:tc>
          <w:tcPr>
            <w:tcW w:w="700" w:type="dxa"/>
            <w:tcMar>
              <w:top w:w="0" w:type="dxa"/>
              <w:bottom w:w="0" w:type="dxa"/>
            </w:tcMar>
            <w:vAlign w:val="center"/>
          </w:tcPr>
          <w:p w:rsidR="002A6F4E" w:rsidRDefault="00D94E62">
            <w:pPr>
              <w:keepNext/>
              <w:keepLines/>
              <w:spacing w:after="0" w:line="240" w:lineRule="auto"/>
            </w:pPr>
            <w:r>
              <w:rPr>
                <w:sz w:val="18"/>
              </w:rPr>
              <w:t>B002</w:t>
            </w:r>
          </w:p>
        </w:tc>
        <w:tc>
          <w:tcPr>
            <w:tcW w:w="1860" w:type="dxa"/>
            <w:tcMar>
              <w:top w:w="0" w:type="dxa"/>
              <w:bottom w:w="0" w:type="dxa"/>
            </w:tcMar>
            <w:vAlign w:val="center"/>
          </w:tcPr>
          <w:p w:rsidR="002A6F4E" w:rsidRDefault="00D94E62">
            <w:pPr>
              <w:keepNext/>
              <w:keepLines/>
              <w:spacing w:after="0" w:line="240" w:lineRule="auto"/>
              <w:jc w:val="right"/>
            </w:pPr>
            <w:r>
              <w:rPr>
                <w:sz w:val="18"/>
              </w:rPr>
              <w:t>22.672.823,48</w:t>
            </w:r>
          </w:p>
        </w:tc>
        <w:tc>
          <w:tcPr>
            <w:tcW w:w="1860" w:type="dxa"/>
            <w:tcMar>
              <w:top w:w="0" w:type="dxa"/>
              <w:bottom w:w="0" w:type="dxa"/>
            </w:tcMar>
            <w:vAlign w:val="center"/>
          </w:tcPr>
          <w:p w:rsidR="002A6F4E" w:rsidRDefault="00D94E62">
            <w:pPr>
              <w:keepNext/>
              <w:keepLines/>
              <w:spacing w:after="0" w:line="240" w:lineRule="auto"/>
              <w:jc w:val="right"/>
            </w:pPr>
            <w:r>
              <w:rPr>
                <w:sz w:val="18"/>
              </w:rPr>
              <w:t>22.096.677,91</w:t>
            </w:r>
          </w:p>
        </w:tc>
        <w:tc>
          <w:tcPr>
            <w:tcW w:w="700" w:type="dxa"/>
            <w:tcMar>
              <w:top w:w="0" w:type="dxa"/>
              <w:bottom w:w="0" w:type="dxa"/>
            </w:tcMar>
            <w:vAlign w:val="center"/>
          </w:tcPr>
          <w:p w:rsidR="002A6F4E" w:rsidRDefault="00D94E62">
            <w:pPr>
              <w:keepNext/>
              <w:keepLines/>
              <w:spacing w:after="0" w:line="240" w:lineRule="auto"/>
              <w:jc w:val="right"/>
            </w:pPr>
            <w:r>
              <w:rPr>
                <w:sz w:val="18"/>
              </w:rPr>
              <w:t>97,5</w:t>
            </w:r>
          </w:p>
        </w:tc>
      </w:tr>
    </w:tbl>
    <w:p w:rsidR="002A6F4E" w:rsidRDefault="002A6F4E">
      <w:pPr>
        <w:spacing w:after="0"/>
      </w:pPr>
    </w:p>
    <w:p w:rsidR="002A6F4E" w:rsidRDefault="00D94E62" w:rsidP="00D70331">
      <w:pPr>
        <w:jc w:val="both"/>
      </w:pPr>
      <w:r>
        <w:t>Šifra B002 – ukupna vrijednost nefinancijske imovine na dan 31.12.2025. godine iznosi  22.096.677,91 eura i manja je za 2,5 % u odnosu na prethodnu godinu zbog obračunatog ispravka vrijednosti.</w:t>
      </w:r>
    </w:p>
    <w:p w:rsidR="002A6F4E" w:rsidRDefault="002A6F4E"/>
    <w:p w:rsidR="002A6F4E" w:rsidRDefault="00D94E62">
      <w:pPr>
        <w:keepNext/>
        <w:spacing w:line="240" w:lineRule="auto"/>
        <w:jc w:val="center"/>
      </w:pPr>
      <w:r>
        <w:rPr>
          <w:sz w:val="28"/>
        </w:rPr>
        <w:t>Bilješka 37.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2A6F4E">
        <w:trPr>
          <w:cantSplit/>
        </w:trPr>
        <w:tc>
          <w:tcPr>
            <w:tcW w:w="700" w:type="dxa"/>
            <w:shd w:val="clear" w:color="auto" w:fill="E7F0F9"/>
            <w:tcMar>
              <w:top w:w="0" w:type="dxa"/>
              <w:bottom w:w="0" w:type="dxa"/>
            </w:tcMar>
            <w:vAlign w:val="center"/>
          </w:tcPr>
          <w:p w:rsidR="002A6F4E" w:rsidRDefault="00D94E62">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2A6F4E" w:rsidRDefault="00D94E62">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2A6F4E" w:rsidRDefault="00D94E62">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2A6F4E" w:rsidRDefault="00D94E62">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2A6F4E" w:rsidRDefault="00D94E62">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2A6F4E" w:rsidRDefault="00D94E62">
            <w:pPr>
              <w:keepNext/>
              <w:keepLines/>
              <w:spacing w:after="0" w:line="240" w:lineRule="auto"/>
              <w:jc w:val="center"/>
            </w:pPr>
            <w:r>
              <w:rPr>
                <w:b/>
                <w:sz w:val="18"/>
              </w:rPr>
              <w:t>Indeks (%)</w:t>
            </w:r>
          </w:p>
        </w:tc>
      </w:tr>
      <w:tr w:rsidR="002A6F4E">
        <w:trPr>
          <w:cantSplit/>
          <w:trHeight w:val="560"/>
        </w:trPr>
        <w:tc>
          <w:tcPr>
            <w:tcW w:w="700" w:type="dxa"/>
            <w:tcMar>
              <w:top w:w="0" w:type="dxa"/>
              <w:bottom w:w="0" w:type="dxa"/>
            </w:tcMar>
            <w:vAlign w:val="center"/>
          </w:tcPr>
          <w:p w:rsidR="002A6F4E" w:rsidRDefault="00D94E62">
            <w:pPr>
              <w:keepNext/>
              <w:keepLines/>
              <w:spacing w:after="0" w:line="240" w:lineRule="auto"/>
            </w:pPr>
            <w:r>
              <w:rPr>
                <w:sz w:val="18"/>
              </w:rPr>
              <w:t>01</w:t>
            </w:r>
          </w:p>
        </w:tc>
        <w:tc>
          <w:tcPr>
            <w:tcW w:w="3180" w:type="dxa"/>
            <w:tcMar>
              <w:top w:w="0" w:type="dxa"/>
              <w:bottom w:w="0" w:type="dxa"/>
            </w:tcMar>
            <w:vAlign w:val="center"/>
          </w:tcPr>
          <w:p w:rsidR="002A6F4E" w:rsidRDefault="00D94E62">
            <w:pPr>
              <w:keepNext/>
              <w:keepLines/>
              <w:spacing w:after="0" w:line="240" w:lineRule="auto"/>
            </w:pPr>
            <w:proofErr w:type="spellStart"/>
            <w:r>
              <w:rPr>
                <w:sz w:val="18"/>
              </w:rPr>
              <w:t>Neproizvedena</w:t>
            </w:r>
            <w:proofErr w:type="spellEnd"/>
            <w:r>
              <w:rPr>
                <w:sz w:val="18"/>
              </w:rPr>
              <w:t xml:space="preserve"> dugotrajna imovina (šifre 011+012-019)</w:t>
            </w:r>
          </w:p>
        </w:tc>
        <w:tc>
          <w:tcPr>
            <w:tcW w:w="700" w:type="dxa"/>
            <w:tcMar>
              <w:top w:w="0" w:type="dxa"/>
              <w:bottom w:w="0" w:type="dxa"/>
            </w:tcMar>
            <w:vAlign w:val="center"/>
          </w:tcPr>
          <w:p w:rsidR="002A6F4E" w:rsidRDefault="00D94E62">
            <w:pPr>
              <w:keepNext/>
              <w:keepLines/>
              <w:spacing w:after="0" w:line="240" w:lineRule="auto"/>
            </w:pPr>
            <w:r>
              <w:rPr>
                <w:sz w:val="18"/>
              </w:rPr>
              <w:t>01</w:t>
            </w:r>
          </w:p>
        </w:tc>
        <w:tc>
          <w:tcPr>
            <w:tcW w:w="1860" w:type="dxa"/>
            <w:tcMar>
              <w:top w:w="0" w:type="dxa"/>
              <w:bottom w:w="0" w:type="dxa"/>
            </w:tcMar>
            <w:vAlign w:val="center"/>
          </w:tcPr>
          <w:p w:rsidR="002A6F4E" w:rsidRDefault="00D94E62">
            <w:pPr>
              <w:keepNext/>
              <w:keepLines/>
              <w:spacing w:after="0" w:line="240" w:lineRule="auto"/>
              <w:jc w:val="right"/>
            </w:pPr>
            <w:r>
              <w:rPr>
                <w:sz w:val="18"/>
              </w:rPr>
              <w:t>8.124.946,99</w:t>
            </w:r>
          </w:p>
        </w:tc>
        <w:tc>
          <w:tcPr>
            <w:tcW w:w="1860" w:type="dxa"/>
            <w:tcMar>
              <w:top w:w="0" w:type="dxa"/>
              <w:bottom w:w="0" w:type="dxa"/>
            </w:tcMar>
            <w:vAlign w:val="center"/>
          </w:tcPr>
          <w:p w:rsidR="002A6F4E" w:rsidRDefault="00D94E62">
            <w:pPr>
              <w:keepNext/>
              <w:keepLines/>
              <w:spacing w:after="0" w:line="240" w:lineRule="auto"/>
              <w:jc w:val="right"/>
            </w:pPr>
            <w:r>
              <w:rPr>
                <w:sz w:val="18"/>
              </w:rPr>
              <w:t>8.125.185,38</w:t>
            </w:r>
          </w:p>
        </w:tc>
        <w:tc>
          <w:tcPr>
            <w:tcW w:w="700" w:type="dxa"/>
            <w:tcMar>
              <w:top w:w="0" w:type="dxa"/>
              <w:bottom w:w="0" w:type="dxa"/>
            </w:tcMar>
            <w:vAlign w:val="center"/>
          </w:tcPr>
          <w:p w:rsidR="002A6F4E" w:rsidRDefault="00D94E62">
            <w:pPr>
              <w:keepNext/>
              <w:keepLines/>
              <w:spacing w:after="0" w:line="240" w:lineRule="auto"/>
              <w:jc w:val="right"/>
            </w:pPr>
            <w:r>
              <w:rPr>
                <w:sz w:val="18"/>
              </w:rPr>
              <w:t>100,0</w:t>
            </w:r>
          </w:p>
        </w:tc>
      </w:tr>
    </w:tbl>
    <w:p w:rsidR="002A6F4E" w:rsidRDefault="002A6F4E">
      <w:pPr>
        <w:spacing w:after="0"/>
      </w:pPr>
    </w:p>
    <w:p w:rsidR="002A6F4E" w:rsidRDefault="00D94E62" w:rsidP="00D70331">
      <w:pPr>
        <w:jc w:val="both"/>
      </w:pPr>
      <w:r>
        <w:t xml:space="preserve">Šifra 01 - vrijednost </w:t>
      </w:r>
      <w:proofErr w:type="spellStart"/>
      <w:r>
        <w:t>neproizvedene</w:t>
      </w:r>
      <w:proofErr w:type="spellEnd"/>
      <w:r>
        <w:t xml:space="preserve"> dugotrajne imovine  na dan 31.12.2025. godine je ostala nepromijenjena u odnosu na stanje 01.01.2025. godine.</w:t>
      </w:r>
    </w:p>
    <w:p w:rsidR="002A6F4E" w:rsidRDefault="002A6F4E"/>
    <w:p w:rsidR="002A6F4E" w:rsidRDefault="00D94E62">
      <w:pPr>
        <w:keepNext/>
        <w:spacing w:line="240" w:lineRule="auto"/>
        <w:jc w:val="center"/>
      </w:pPr>
      <w:r>
        <w:rPr>
          <w:sz w:val="28"/>
        </w:rPr>
        <w:t>Bilješka 38.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2A6F4E">
        <w:trPr>
          <w:cantSplit/>
        </w:trPr>
        <w:tc>
          <w:tcPr>
            <w:tcW w:w="700" w:type="dxa"/>
            <w:shd w:val="clear" w:color="auto" w:fill="E7F0F9"/>
            <w:tcMar>
              <w:top w:w="0" w:type="dxa"/>
              <w:bottom w:w="0" w:type="dxa"/>
            </w:tcMar>
            <w:vAlign w:val="center"/>
          </w:tcPr>
          <w:p w:rsidR="002A6F4E" w:rsidRDefault="00D94E62">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2A6F4E" w:rsidRDefault="00D94E62">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2A6F4E" w:rsidRDefault="00D94E62">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2A6F4E" w:rsidRDefault="00D94E62">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2A6F4E" w:rsidRDefault="00D94E62">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2A6F4E" w:rsidRDefault="00D94E62">
            <w:pPr>
              <w:keepNext/>
              <w:keepLines/>
              <w:spacing w:after="0" w:line="240" w:lineRule="auto"/>
              <w:jc w:val="center"/>
            </w:pPr>
            <w:r>
              <w:rPr>
                <w:b/>
                <w:sz w:val="18"/>
              </w:rPr>
              <w:t>Indeks (%)</w:t>
            </w:r>
          </w:p>
        </w:tc>
      </w:tr>
      <w:tr w:rsidR="002A6F4E">
        <w:trPr>
          <w:cantSplit/>
          <w:trHeight w:val="560"/>
        </w:trPr>
        <w:tc>
          <w:tcPr>
            <w:tcW w:w="700" w:type="dxa"/>
            <w:tcMar>
              <w:top w:w="0" w:type="dxa"/>
              <w:bottom w:w="0" w:type="dxa"/>
            </w:tcMar>
            <w:vAlign w:val="center"/>
          </w:tcPr>
          <w:p w:rsidR="002A6F4E" w:rsidRDefault="00D94E62">
            <w:pPr>
              <w:keepNext/>
              <w:keepLines/>
              <w:spacing w:after="0" w:line="240" w:lineRule="auto"/>
            </w:pPr>
            <w:r>
              <w:rPr>
                <w:sz w:val="18"/>
              </w:rPr>
              <w:t>0214</w:t>
            </w:r>
          </w:p>
        </w:tc>
        <w:tc>
          <w:tcPr>
            <w:tcW w:w="3180" w:type="dxa"/>
            <w:tcMar>
              <w:top w:w="0" w:type="dxa"/>
              <w:bottom w:w="0" w:type="dxa"/>
            </w:tcMar>
            <w:vAlign w:val="center"/>
          </w:tcPr>
          <w:p w:rsidR="002A6F4E" w:rsidRDefault="00D94E62">
            <w:pPr>
              <w:keepNext/>
              <w:keepLines/>
              <w:spacing w:after="0" w:line="240" w:lineRule="auto"/>
            </w:pPr>
            <w:r>
              <w:rPr>
                <w:sz w:val="18"/>
              </w:rPr>
              <w:t>Ostali građevinski objekti</w:t>
            </w:r>
          </w:p>
        </w:tc>
        <w:tc>
          <w:tcPr>
            <w:tcW w:w="700" w:type="dxa"/>
            <w:tcMar>
              <w:top w:w="0" w:type="dxa"/>
              <w:bottom w:w="0" w:type="dxa"/>
            </w:tcMar>
            <w:vAlign w:val="center"/>
          </w:tcPr>
          <w:p w:rsidR="002A6F4E" w:rsidRDefault="00D94E62">
            <w:pPr>
              <w:keepNext/>
              <w:keepLines/>
              <w:spacing w:after="0" w:line="240" w:lineRule="auto"/>
            </w:pPr>
            <w:r>
              <w:rPr>
                <w:sz w:val="18"/>
              </w:rPr>
              <w:t>0214</w:t>
            </w:r>
          </w:p>
        </w:tc>
        <w:tc>
          <w:tcPr>
            <w:tcW w:w="1860" w:type="dxa"/>
            <w:tcMar>
              <w:top w:w="0" w:type="dxa"/>
              <w:bottom w:w="0" w:type="dxa"/>
            </w:tcMar>
            <w:vAlign w:val="center"/>
          </w:tcPr>
          <w:p w:rsidR="002A6F4E" w:rsidRDefault="00D94E62">
            <w:pPr>
              <w:keepNext/>
              <w:keepLines/>
              <w:spacing w:after="0" w:line="240" w:lineRule="auto"/>
              <w:jc w:val="right"/>
            </w:pPr>
            <w:r>
              <w:rPr>
                <w:sz w:val="18"/>
              </w:rPr>
              <w:t>7.003.194,47</w:t>
            </w:r>
          </w:p>
        </w:tc>
        <w:tc>
          <w:tcPr>
            <w:tcW w:w="1860" w:type="dxa"/>
            <w:tcMar>
              <w:top w:w="0" w:type="dxa"/>
              <w:bottom w:w="0" w:type="dxa"/>
            </w:tcMar>
            <w:vAlign w:val="center"/>
          </w:tcPr>
          <w:p w:rsidR="002A6F4E" w:rsidRDefault="00D94E62">
            <w:pPr>
              <w:keepNext/>
              <w:keepLines/>
              <w:spacing w:after="0" w:line="240" w:lineRule="auto"/>
              <w:jc w:val="right"/>
            </w:pPr>
            <w:r>
              <w:rPr>
                <w:sz w:val="18"/>
              </w:rPr>
              <w:t>7.456.644,51</w:t>
            </w:r>
          </w:p>
        </w:tc>
        <w:tc>
          <w:tcPr>
            <w:tcW w:w="700" w:type="dxa"/>
            <w:tcMar>
              <w:top w:w="0" w:type="dxa"/>
              <w:bottom w:w="0" w:type="dxa"/>
            </w:tcMar>
            <w:vAlign w:val="center"/>
          </w:tcPr>
          <w:p w:rsidR="002A6F4E" w:rsidRDefault="00D94E62">
            <w:pPr>
              <w:keepNext/>
              <w:keepLines/>
              <w:spacing w:after="0" w:line="240" w:lineRule="auto"/>
              <w:jc w:val="right"/>
            </w:pPr>
            <w:r>
              <w:rPr>
                <w:sz w:val="18"/>
              </w:rPr>
              <w:t>106,5</w:t>
            </w:r>
          </w:p>
        </w:tc>
      </w:tr>
    </w:tbl>
    <w:p w:rsidR="002A6F4E" w:rsidRDefault="002A6F4E">
      <w:pPr>
        <w:spacing w:after="0"/>
      </w:pPr>
    </w:p>
    <w:p w:rsidR="002A6F4E" w:rsidRDefault="00D94E62" w:rsidP="00D70331">
      <w:pPr>
        <w:jc w:val="both"/>
      </w:pPr>
      <w:r>
        <w:t>Šifra 0214 – ostali građevinski objekti  povećan je iznos za 6,5 % u odnosu na stanje 01.01.2025. godine.</w:t>
      </w:r>
    </w:p>
    <w:p w:rsidR="002A6F4E" w:rsidRDefault="00D94E62">
      <w:r>
        <w:t> </w:t>
      </w:r>
    </w:p>
    <w:p w:rsidR="002A6F4E" w:rsidRDefault="00D94E62">
      <w:r>
        <w:t>Povećanje se odnosi na slijedeće:</w:t>
      </w:r>
    </w:p>
    <w:p w:rsidR="002A6F4E" w:rsidRDefault="00D94E62">
      <w:r>
        <w:t> </w:t>
      </w:r>
    </w:p>
    <w:p w:rsidR="002A6F4E" w:rsidRDefault="00D94E62">
      <w:r>
        <w:t xml:space="preserve">- uređenje Tematsko edukativne staze </w:t>
      </w:r>
      <w:proofErr w:type="spellStart"/>
      <w:r>
        <w:t>Lepenica</w:t>
      </w:r>
      <w:proofErr w:type="spellEnd"/>
      <w:r>
        <w:t xml:space="preserve"> II faza – 448.901,45 eura,</w:t>
      </w:r>
    </w:p>
    <w:p w:rsidR="002A6F4E" w:rsidRDefault="00D94E62">
      <w:r>
        <w:t>- postavljanje vodovodnog priključka na lokaciji Parkiralište Čoka – 4.548,59 eura,</w:t>
      </w:r>
    </w:p>
    <w:p w:rsidR="002A6F4E" w:rsidRDefault="00D94E62">
      <w:r>
        <w:t> </w:t>
      </w:r>
    </w:p>
    <w:p w:rsidR="002A6F4E" w:rsidRDefault="002A6F4E">
      <w:bookmarkStart w:id="0" w:name="_GoBack"/>
      <w:bookmarkEnd w:id="0"/>
    </w:p>
    <w:p w:rsidR="002A6F4E" w:rsidRDefault="00D94E62">
      <w:pPr>
        <w:keepNext/>
        <w:spacing w:line="240" w:lineRule="auto"/>
        <w:jc w:val="center"/>
      </w:pPr>
      <w:r>
        <w:rPr>
          <w:sz w:val="28"/>
        </w:rPr>
        <w:lastRenderedPageBreak/>
        <w:t>Bilješka 39.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2A6F4E">
        <w:trPr>
          <w:cantSplit/>
        </w:trPr>
        <w:tc>
          <w:tcPr>
            <w:tcW w:w="700" w:type="dxa"/>
            <w:shd w:val="clear" w:color="auto" w:fill="E7F0F9"/>
            <w:tcMar>
              <w:top w:w="0" w:type="dxa"/>
              <w:bottom w:w="0" w:type="dxa"/>
            </w:tcMar>
            <w:vAlign w:val="center"/>
          </w:tcPr>
          <w:p w:rsidR="002A6F4E" w:rsidRDefault="00D94E62">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2A6F4E" w:rsidRDefault="00D94E62">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2A6F4E" w:rsidRDefault="00D94E62">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2A6F4E" w:rsidRDefault="00D94E62">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2A6F4E" w:rsidRDefault="00D94E62">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2A6F4E" w:rsidRDefault="00D94E62">
            <w:pPr>
              <w:keepNext/>
              <w:keepLines/>
              <w:spacing w:after="0" w:line="240" w:lineRule="auto"/>
              <w:jc w:val="center"/>
            </w:pPr>
            <w:r>
              <w:rPr>
                <w:b/>
                <w:sz w:val="18"/>
              </w:rPr>
              <w:t>Indeks (%)</w:t>
            </w:r>
          </w:p>
        </w:tc>
      </w:tr>
      <w:tr w:rsidR="002A6F4E">
        <w:trPr>
          <w:cantSplit/>
          <w:trHeight w:val="560"/>
        </w:trPr>
        <w:tc>
          <w:tcPr>
            <w:tcW w:w="700" w:type="dxa"/>
            <w:tcMar>
              <w:top w:w="0" w:type="dxa"/>
              <w:bottom w:w="0" w:type="dxa"/>
            </w:tcMar>
            <w:vAlign w:val="center"/>
          </w:tcPr>
          <w:p w:rsidR="002A6F4E" w:rsidRDefault="00D94E62">
            <w:pPr>
              <w:keepNext/>
              <w:keepLines/>
              <w:spacing w:after="0" w:line="240" w:lineRule="auto"/>
            </w:pPr>
            <w:r>
              <w:rPr>
                <w:sz w:val="18"/>
              </w:rPr>
              <w:t>11</w:t>
            </w:r>
          </w:p>
        </w:tc>
        <w:tc>
          <w:tcPr>
            <w:tcW w:w="3180" w:type="dxa"/>
            <w:tcMar>
              <w:top w:w="0" w:type="dxa"/>
              <w:bottom w:w="0" w:type="dxa"/>
            </w:tcMar>
            <w:vAlign w:val="center"/>
          </w:tcPr>
          <w:p w:rsidR="002A6F4E" w:rsidRDefault="00D94E62">
            <w:pPr>
              <w:keepNext/>
              <w:keepLines/>
              <w:spacing w:after="0" w:line="240" w:lineRule="auto"/>
            </w:pPr>
            <w:r>
              <w:rPr>
                <w:sz w:val="18"/>
              </w:rPr>
              <w:t>Novac u banci i blagajni (šifre 111+112 do 114)</w:t>
            </w:r>
          </w:p>
        </w:tc>
        <w:tc>
          <w:tcPr>
            <w:tcW w:w="700" w:type="dxa"/>
            <w:tcMar>
              <w:top w:w="0" w:type="dxa"/>
              <w:bottom w:w="0" w:type="dxa"/>
            </w:tcMar>
            <w:vAlign w:val="center"/>
          </w:tcPr>
          <w:p w:rsidR="002A6F4E" w:rsidRDefault="00D94E62">
            <w:pPr>
              <w:keepNext/>
              <w:keepLines/>
              <w:spacing w:after="0" w:line="240" w:lineRule="auto"/>
            </w:pPr>
            <w:r>
              <w:rPr>
                <w:sz w:val="18"/>
              </w:rPr>
              <w:t>11</w:t>
            </w:r>
          </w:p>
        </w:tc>
        <w:tc>
          <w:tcPr>
            <w:tcW w:w="1860" w:type="dxa"/>
            <w:tcMar>
              <w:top w:w="0" w:type="dxa"/>
              <w:bottom w:w="0" w:type="dxa"/>
            </w:tcMar>
            <w:vAlign w:val="center"/>
          </w:tcPr>
          <w:p w:rsidR="002A6F4E" w:rsidRDefault="00D94E62">
            <w:pPr>
              <w:keepNext/>
              <w:keepLines/>
              <w:spacing w:after="0" w:line="240" w:lineRule="auto"/>
              <w:jc w:val="right"/>
            </w:pPr>
            <w:r>
              <w:rPr>
                <w:sz w:val="18"/>
              </w:rPr>
              <w:t>37.953,38</w:t>
            </w:r>
          </w:p>
        </w:tc>
        <w:tc>
          <w:tcPr>
            <w:tcW w:w="1860" w:type="dxa"/>
            <w:tcMar>
              <w:top w:w="0" w:type="dxa"/>
              <w:bottom w:w="0" w:type="dxa"/>
            </w:tcMar>
            <w:vAlign w:val="center"/>
          </w:tcPr>
          <w:p w:rsidR="002A6F4E" w:rsidRDefault="00D94E62">
            <w:pPr>
              <w:keepNext/>
              <w:keepLines/>
              <w:spacing w:after="0" w:line="240" w:lineRule="auto"/>
              <w:jc w:val="right"/>
            </w:pPr>
            <w:r>
              <w:rPr>
                <w:sz w:val="18"/>
              </w:rPr>
              <w:t>29.296,48</w:t>
            </w:r>
          </w:p>
        </w:tc>
        <w:tc>
          <w:tcPr>
            <w:tcW w:w="700" w:type="dxa"/>
            <w:tcMar>
              <w:top w:w="0" w:type="dxa"/>
              <w:bottom w:w="0" w:type="dxa"/>
            </w:tcMar>
            <w:vAlign w:val="center"/>
          </w:tcPr>
          <w:p w:rsidR="002A6F4E" w:rsidRDefault="00D94E62">
            <w:pPr>
              <w:keepNext/>
              <w:keepLines/>
              <w:spacing w:after="0" w:line="240" w:lineRule="auto"/>
              <w:jc w:val="right"/>
            </w:pPr>
            <w:r>
              <w:rPr>
                <w:sz w:val="18"/>
              </w:rPr>
              <w:t>77,2</w:t>
            </w:r>
          </w:p>
        </w:tc>
      </w:tr>
    </w:tbl>
    <w:p w:rsidR="002A6F4E" w:rsidRDefault="002A6F4E">
      <w:pPr>
        <w:spacing w:after="0"/>
      </w:pPr>
    </w:p>
    <w:p w:rsidR="002A6F4E" w:rsidRDefault="00D94E62" w:rsidP="00D70331">
      <w:pPr>
        <w:jc w:val="both"/>
      </w:pPr>
      <w:r>
        <w:t>Šifra 11 – Novac u banci i blagajni – evidentiran je iznos od 29.296,48 €, te se isti odnosi na stanje novčanih sredstva na žiro-računu u iznosu od 29.288,97 eura na dan 31.12.2025. i stanje blagajne u iznosu od 7,51 eura na dan 31.12.2025. godine.</w:t>
      </w:r>
    </w:p>
    <w:p w:rsidR="002A6F4E" w:rsidRDefault="002A6F4E" w:rsidP="00D70331">
      <w:pPr>
        <w:jc w:val="both"/>
      </w:pPr>
    </w:p>
    <w:p w:rsidR="002A6F4E" w:rsidRDefault="00D94E62">
      <w:pPr>
        <w:keepNext/>
        <w:spacing w:line="240" w:lineRule="auto"/>
        <w:jc w:val="center"/>
      </w:pPr>
      <w:r>
        <w:rPr>
          <w:sz w:val="28"/>
        </w:rPr>
        <w:t>Bilješka 40.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2A6F4E">
        <w:trPr>
          <w:cantSplit/>
        </w:trPr>
        <w:tc>
          <w:tcPr>
            <w:tcW w:w="700" w:type="dxa"/>
            <w:shd w:val="clear" w:color="auto" w:fill="E7F0F9"/>
            <w:tcMar>
              <w:top w:w="0" w:type="dxa"/>
              <w:bottom w:w="0" w:type="dxa"/>
            </w:tcMar>
            <w:vAlign w:val="center"/>
          </w:tcPr>
          <w:p w:rsidR="002A6F4E" w:rsidRDefault="00D94E62">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2A6F4E" w:rsidRDefault="00D94E62">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2A6F4E" w:rsidRDefault="00D94E62">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2A6F4E" w:rsidRDefault="00D94E62">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2A6F4E" w:rsidRDefault="00D94E62">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2A6F4E" w:rsidRDefault="00D94E62">
            <w:pPr>
              <w:keepNext/>
              <w:keepLines/>
              <w:spacing w:after="0" w:line="240" w:lineRule="auto"/>
              <w:jc w:val="center"/>
            </w:pPr>
            <w:r>
              <w:rPr>
                <w:b/>
                <w:sz w:val="18"/>
              </w:rPr>
              <w:t>Indeks (%)</w:t>
            </w:r>
          </w:p>
        </w:tc>
      </w:tr>
      <w:tr w:rsidR="002A6F4E">
        <w:trPr>
          <w:cantSplit/>
          <w:trHeight w:val="560"/>
        </w:trPr>
        <w:tc>
          <w:tcPr>
            <w:tcW w:w="700" w:type="dxa"/>
            <w:tcMar>
              <w:top w:w="0" w:type="dxa"/>
              <w:bottom w:w="0" w:type="dxa"/>
            </w:tcMar>
            <w:vAlign w:val="center"/>
          </w:tcPr>
          <w:p w:rsidR="002A6F4E" w:rsidRDefault="00D94E62">
            <w:pPr>
              <w:keepNext/>
              <w:keepLines/>
              <w:spacing w:after="0" w:line="240" w:lineRule="auto"/>
            </w:pPr>
            <w:r>
              <w:rPr>
                <w:sz w:val="18"/>
              </w:rPr>
              <w:t>922</w:t>
            </w:r>
          </w:p>
        </w:tc>
        <w:tc>
          <w:tcPr>
            <w:tcW w:w="3180" w:type="dxa"/>
            <w:tcMar>
              <w:top w:w="0" w:type="dxa"/>
              <w:bottom w:w="0" w:type="dxa"/>
            </w:tcMar>
            <w:vAlign w:val="center"/>
          </w:tcPr>
          <w:p w:rsidR="002A6F4E" w:rsidRDefault="00D94E62">
            <w:pPr>
              <w:keepNext/>
              <w:keepLines/>
              <w:spacing w:after="0" w:line="240" w:lineRule="auto"/>
            </w:pPr>
            <w:r>
              <w:rPr>
                <w:sz w:val="18"/>
              </w:rPr>
              <w:t>Rezultat - višak/manjak (šifre 9221-9222)</w:t>
            </w:r>
          </w:p>
        </w:tc>
        <w:tc>
          <w:tcPr>
            <w:tcW w:w="700" w:type="dxa"/>
            <w:tcMar>
              <w:top w:w="0" w:type="dxa"/>
              <w:bottom w:w="0" w:type="dxa"/>
            </w:tcMar>
            <w:vAlign w:val="center"/>
          </w:tcPr>
          <w:p w:rsidR="002A6F4E" w:rsidRDefault="00D94E62">
            <w:pPr>
              <w:keepNext/>
              <w:keepLines/>
              <w:spacing w:after="0" w:line="240" w:lineRule="auto"/>
            </w:pPr>
            <w:r>
              <w:rPr>
                <w:sz w:val="18"/>
              </w:rPr>
              <w:t>922</w:t>
            </w:r>
          </w:p>
        </w:tc>
        <w:tc>
          <w:tcPr>
            <w:tcW w:w="1860" w:type="dxa"/>
            <w:tcMar>
              <w:top w:w="0" w:type="dxa"/>
              <w:bottom w:w="0" w:type="dxa"/>
            </w:tcMar>
            <w:vAlign w:val="center"/>
          </w:tcPr>
          <w:p w:rsidR="002A6F4E" w:rsidRDefault="00D94E62">
            <w:pPr>
              <w:keepNext/>
              <w:keepLines/>
              <w:spacing w:after="0" w:line="240" w:lineRule="auto"/>
              <w:jc w:val="right"/>
            </w:pPr>
            <w:r>
              <w:rPr>
                <w:sz w:val="18"/>
              </w:rPr>
              <w:t>-677.553,02</w:t>
            </w:r>
          </w:p>
        </w:tc>
        <w:tc>
          <w:tcPr>
            <w:tcW w:w="1860" w:type="dxa"/>
            <w:tcMar>
              <w:top w:w="0" w:type="dxa"/>
              <w:bottom w:w="0" w:type="dxa"/>
            </w:tcMar>
            <w:vAlign w:val="center"/>
          </w:tcPr>
          <w:p w:rsidR="002A6F4E" w:rsidRDefault="00D94E62">
            <w:pPr>
              <w:keepNext/>
              <w:keepLines/>
              <w:spacing w:after="0" w:line="240" w:lineRule="auto"/>
              <w:jc w:val="right"/>
            </w:pPr>
            <w:r>
              <w:rPr>
                <w:sz w:val="18"/>
              </w:rPr>
              <w:t>-458.622,73</w:t>
            </w:r>
          </w:p>
        </w:tc>
        <w:tc>
          <w:tcPr>
            <w:tcW w:w="700" w:type="dxa"/>
            <w:tcMar>
              <w:top w:w="0" w:type="dxa"/>
              <w:bottom w:w="0" w:type="dxa"/>
            </w:tcMar>
            <w:vAlign w:val="center"/>
          </w:tcPr>
          <w:p w:rsidR="002A6F4E" w:rsidRDefault="00D94E62">
            <w:pPr>
              <w:keepNext/>
              <w:keepLines/>
              <w:spacing w:after="0" w:line="240" w:lineRule="auto"/>
              <w:jc w:val="right"/>
            </w:pPr>
            <w:r>
              <w:rPr>
                <w:sz w:val="18"/>
              </w:rPr>
              <w:t>67,7</w:t>
            </w:r>
          </w:p>
        </w:tc>
      </w:tr>
    </w:tbl>
    <w:p w:rsidR="002A6F4E" w:rsidRDefault="002A6F4E">
      <w:pPr>
        <w:spacing w:after="0"/>
      </w:pPr>
    </w:p>
    <w:p w:rsidR="002A6F4E" w:rsidRDefault="00D94E62" w:rsidP="00D70331">
      <w:pPr>
        <w:jc w:val="both"/>
      </w:pPr>
      <w:r>
        <w:t>Višak prihoda u izvještajnom razdoblju ostvaren je u iznosu od 218.930,29 eura, te je evidentiran ukupan manjak u iznosu od 458.622,73 eura.</w:t>
      </w:r>
    </w:p>
    <w:p w:rsidR="002A6F4E" w:rsidRDefault="002A6F4E"/>
    <w:p w:rsidR="002A6F4E" w:rsidRDefault="00D94E62">
      <w:pPr>
        <w:keepNext/>
        <w:spacing w:line="240" w:lineRule="auto"/>
        <w:jc w:val="center"/>
      </w:pPr>
      <w:r>
        <w:rPr>
          <w:b/>
          <w:sz w:val="28"/>
        </w:rPr>
        <w:t>Promjene u vrijednosti i obujmu imovine i obveza</w:t>
      </w:r>
    </w:p>
    <w:p w:rsidR="002A6F4E" w:rsidRDefault="00D94E62">
      <w:pPr>
        <w:keepNext/>
        <w:spacing w:line="240" w:lineRule="auto"/>
        <w:jc w:val="center"/>
      </w:pPr>
      <w:r>
        <w:rPr>
          <w:sz w:val="28"/>
        </w:rPr>
        <w:t>Bilješka 41.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2A6F4E">
        <w:trPr>
          <w:cantSplit/>
        </w:trPr>
        <w:tc>
          <w:tcPr>
            <w:tcW w:w="700" w:type="dxa"/>
            <w:shd w:val="clear" w:color="auto" w:fill="E7F0F9"/>
            <w:tcMar>
              <w:top w:w="0" w:type="dxa"/>
              <w:bottom w:w="0" w:type="dxa"/>
            </w:tcMar>
            <w:vAlign w:val="center"/>
          </w:tcPr>
          <w:p w:rsidR="002A6F4E" w:rsidRDefault="00D94E62">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2A6F4E" w:rsidRDefault="00D94E62">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2A6F4E" w:rsidRDefault="00D94E62">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2A6F4E" w:rsidRDefault="00D94E62">
            <w:pPr>
              <w:keepNext/>
              <w:keepLines/>
              <w:spacing w:after="0" w:line="240" w:lineRule="auto"/>
              <w:jc w:val="center"/>
            </w:pPr>
            <w:r>
              <w:rPr>
                <w:b/>
                <w:sz w:val="18"/>
              </w:rPr>
              <w:t>Iznos povećanja</w:t>
            </w:r>
          </w:p>
        </w:tc>
        <w:tc>
          <w:tcPr>
            <w:tcW w:w="1860" w:type="dxa"/>
            <w:shd w:val="clear" w:color="auto" w:fill="E7F0F9"/>
            <w:tcMar>
              <w:top w:w="0" w:type="dxa"/>
              <w:bottom w:w="0" w:type="dxa"/>
            </w:tcMar>
            <w:vAlign w:val="center"/>
          </w:tcPr>
          <w:p w:rsidR="002A6F4E" w:rsidRDefault="00D94E62">
            <w:pPr>
              <w:keepNext/>
              <w:keepLines/>
              <w:spacing w:after="0" w:line="240" w:lineRule="auto"/>
              <w:jc w:val="center"/>
            </w:pPr>
            <w:r>
              <w:rPr>
                <w:b/>
                <w:sz w:val="18"/>
              </w:rPr>
              <w:t>Iznos smanjenja</w:t>
            </w:r>
          </w:p>
        </w:tc>
        <w:tc>
          <w:tcPr>
            <w:tcW w:w="700" w:type="dxa"/>
            <w:shd w:val="clear" w:color="auto" w:fill="E7F0F9"/>
            <w:tcMar>
              <w:top w:w="0" w:type="dxa"/>
              <w:bottom w:w="0" w:type="dxa"/>
            </w:tcMar>
            <w:vAlign w:val="center"/>
          </w:tcPr>
          <w:p w:rsidR="002A6F4E" w:rsidRDefault="00D94E62">
            <w:pPr>
              <w:keepNext/>
              <w:keepLines/>
              <w:spacing w:after="0" w:line="240" w:lineRule="auto"/>
              <w:jc w:val="center"/>
            </w:pPr>
            <w:r>
              <w:rPr>
                <w:b/>
                <w:sz w:val="18"/>
              </w:rPr>
              <w:t>Indeks (%)</w:t>
            </w:r>
          </w:p>
        </w:tc>
      </w:tr>
      <w:tr w:rsidR="002A6F4E">
        <w:trPr>
          <w:cantSplit/>
          <w:trHeight w:val="560"/>
        </w:trPr>
        <w:tc>
          <w:tcPr>
            <w:tcW w:w="700" w:type="dxa"/>
            <w:tcMar>
              <w:top w:w="0" w:type="dxa"/>
              <w:bottom w:w="0" w:type="dxa"/>
            </w:tcMar>
            <w:vAlign w:val="center"/>
          </w:tcPr>
          <w:p w:rsidR="002A6F4E" w:rsidRDefault="002A6F4E">
            <w:pPr>
              <w:keepNext/>
              <w:keepLines/>
              <w:spacing w:after="0" w:line="240" w:lineRule="auto"/>
            </w:pPr>
          </w:p>
        </w:tc>
        <w:tc>
          <w:tcPr>
            <w:tcW w:w="3180" w:type="dxa"/>
            <w:tcMar>
              <w:top w:w="0" w:type="dxa"/>
              <w:bottom w:w="0" w:type="dxa"/>
            </w:tcMar>
            <w:vAlign w:val="center"/>
          </w:tcPr>
          <w:p w:rsidR="002A6F4E" w:rsidRDefault="00D94E62">
            <w:pPr>
              <w:keepNext/>
              <w:keepLines/>
              <w:spacing w:after="0" w:line="240" w:lineRule="auto"/>
            </w:pPr>
            <w:r>
              <w:rPr>
                <w:sz w:val="18"/>
              </w:rPr>
              <w:t>Financijski instrumenti - dionice i udjeli u glavnici</w:t>
            </w:r>
          </w:p>
        </w:tc>
        <w:tc>
          <w:tcPr>
            <w:tcW w:w="700" w:type="dxa"/>
            <w:tcMar>
              <w:top w:w="0" w:type="dxa"/>
              <w:bottom w:w="0" w:type="dxa"/>
            </w:tcMar>
            <w:vAlign w:val="center"/>
          </w:tcPr>
          <w:p w:rsidR="002A6F4E" w:rsidRDefault="00D94E62">
            <w:pPr>
              <w:keepNext/>
              <w:keepLines/>
              <w:spacing w:after="0" w:line="240" w:lineRule="auto"/>
            </w:pPr>
            <w:r>
              <w:rPr>
                <w:sz w:val="18"/>
              </w:rPr>
              <w:t>P013</w:t>
            </w:r>
          </w:p>
        </w:tc>
        <w:tc>
          <w:tcPr>
            <w:tcW w:w="1860" w:type="dxa"/>
            <w:tcMar>
              <w:top w:w="0" w:type="dxa"/>
              <w:bottom w:w="0" w:type="dxa"/>
            </w:tcMar>
            <w:vAlign w:val="center"/>
          </w:tcPr>
          <w:p w:rsidR="002A6F4E" w:rsidRDefault="00D94E62">
            <w:pPr>
              <w:keepNext/>
              <w:keepLines/>
              <w:spacing w:after="0" w:line="240" w:lineRule="auto"/>
              <w:jc w:val="right"/>
            </w:pPr>
            <w:r>
              <w:rPr>
                <w:sz w:val="18"/>
              </w:rPr>
              <w:t>0,00</w:t>
            </w:r>
          </w:p>
        </w:tc>
        <w:tc>
          <w:tcPr>
            <w:tcW w:w="1860" w:type="dxa"/>
            <w:tcMar>
              <w:top w:w="0" w:type="dxa"/>
              <w:bottom w:w="0" w:type="dxa"/>
            </w:tcMar>
            <w:vAlign w:val="center"/>
          </w:tcPr>
          <w:p w:rsidR="002A6F4E" w:rsidRDefault="00D94E62">
            <w:pPr>
              <w:keepNext/>
              <w:keepLines/>
              <w:spacing w:after="0" w:line="240" w:lineRule="auto"/>
              <w:jc w:val="right"/>
            </w:pPr>
            <w:r>
              <w:rPr>
                <w:sz w:val="18"/>
              </w:rPr>
              <w:t>8,30</w:t>
            </w:r>
          </w:p>
        </w:tc>
        <w:tc>
          <w:tcPr>
            <w:tcW w:w="700" w:type="dxa"/>
            <w:tcMar>
              <w:top w:w="0" w:type="dxa"/>
              <w:bottom w:w="0" w:type="dxa"/>
            </w:tcMar>
            <w:vAlign w:val="center"/>
          </w:tcPr>
          <w:p w:rsidR="002A6F4E" w:rsidRDefault="00D94E62">
            <w:pPr>
              <w:keepNext/>
              <w:keepLines/>
              <w:spacing w:after="0" w:line="240" w:lineRule="auto"/>
              <w:jc w:val="right"/>
            </w:pPr>
            <w:r>
              <w:rPr>
                <w:sz w:val="18"/>
              </w:rPr>
              <w:t>-</w:t>
            </w:r>
          </w:p>
        </w:tc>
      </w:tr>
    </w:tbl>
    <w:p w:rsidR="002A6F4E" w:rsidRDefault="002A6F4E">
      <w:pPr>
        <w:spacing w:after="0"/>
      </w:pPr>
    </w:p>
    <w:p w:rsidR="002A6F4E" w:rsidRDefault="00D94E62" w:rsidP="00D70331">
      <w:pPr>
        <w:jc w:val="both"/>
      </w:pPr>
      <w:r>
        <w:t>Kroz obrazac P-VRIO usklađen je udio temeljnog kapitala trgovačkog društva KD Vodovod i kanalizacija d.o.o. </w:t>
      </w:r>
    </w:p>
    <w:p w:rsidR="002A6F4E" w:rsidRDefault="002A6F4E"/>
    <w:p w:rsidR="002A6F4E" w:rsidRDefault="00D94E62">
      <w:pPr>
        <w:keepNext/>
        <w:spacing w:line="240" w:lineRule="auto"/>
        <w:jc w:val="center"/>
      </w:pPr>
      <w:r>
        <w:rPr>
          <w:b/>
          <w:sz w:val="28"/>
        </w:rPr>
        <w:t>Izvještaj o obvezama</w:t>
      </w:r>
    </w:p>
    <w:p w:rsidR="002A6F4E" w:rsidRDefault="00D94E62">
      <w:pPr>
        <w:keepNext/>
        <w:spacing w:line="240" w:lineRule="auto"/>
        <w:jc w:val="center"/>
      </w:pPr>
      <w:r>
        <w:rPr>
          <w:sz w:val="28"/>
        </w:rPr>
        <w:t>Bilješka 42.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883"/>
        <w:gridCol w:w="4008"/>
        <w:gridCol w:w="882"/>
        <w:gridCol w:w="2345"/>
        <w:gridCol w:w="882"/>
      </w:tblGrid>
      <w:tr w:rsidR="002A6F4E">
        <w:trPr>
          <w:cantSplit/>
        </w:trPr>
        <w:tc>
          <w:tcPr>
            <w:tcW w:w="700" w:type="dxa"/>
            <w:shd w:val="clear" w:color="auto" w:fill="E7F0F9"/>
            <w:tcMar>
              <w:top w:w="0" w:type="dxa"/>
              <w:bottom w:w="0" w:type="dxa"/>
            </w:tcMar>
            <w:vAlign w:val="center"/>
          </w:tcPr>
          <w:p w:rsidR="002A6F4E" w:rsidRDefault="00D94E62">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2A6F4E" w:rsidRDefault="00D94E62">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2A6F4E" w:rsidRDefault="00D94E62">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2A6F4E" w:rsidRDefault="00D94E62">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rsidR="002A6F4E" w:rsidRDefault="00D94E62">
            <w:pPr>
              <w:keepNext/>
              <w:keepLines/>
              <w:spacing w:after="0" w:line="240" w:lineRule="auto"/>
              <w:jc w:val="center"/>
            </w:pPr>
            <w:r>
              <w:rPr>
                <w:b/>
                <w:sz w:val="18"/>
              </w:rPr>
              <w:t>Indeks (%)</w:t>
            </w:r>
          </w:p>
        </w:tc>
      </w:tr>
      <w:tr w:rsidR="002A6F4E">
        <w:trPr>
          <w:cantSplit/>
          <w:trHeight w:val="560"/>
        </w:trPr>
        <w:tc>
          <w:tcPr>
            <w:tcW w:w="700" w:type="dxa"/>
            <w:tcMar>
              <w:top w:w="0" w:type="dxa"/>
              <w:bottom w:w="0" w:type="dxa"/>
            </w:tcMar>
            <w:vAlign w:val="center"/>
          </w:tcPr>
          <w:p w:rsidR="002A6F4E" w:rsidRDefault="002A6F4E">
            <w:pPr>
              <w:keepNext/>
              <w:keepLines/>
              <w:spacing w:after="0" w:line="240" w:lineRule="auto"/>
            </w:pPr>
          </w:p>
        </w:tc>
        <w:tc>
          <w:tcPr>
            <w:tcW w:w="3180" w:type="dxa"/>
            <w:tcMar>
              <w:top w:w="0" w:type="dxa"/>
              <w:bottom w:w="0" w:type="dxa"/>
            </w:tcMar>
            <w:vAlign w:val="center"/>
          </w:tcPr>
          <w:p w:rsidR="002A6F4E" w:rsidRDefault="00D94E62">
            <w:pPr>
              <w:keepNext/>
              <w:keepLines/>
              <w:spacing w:after="0" w:line="240" w:lineRule="auto"/>
            </w:pPr>
            <w:r>
              <w:rPr>
                <w:sz w:val="18"/>
              </w:rPr>
              <w:t>Stanje obveza 1. siječnja (=stanju obveza iz Izvještaja o obvezama na 31. prosinca prethodne godine)</w:t>
            </w:r>
          </w:p>
        </w:tc>
        <w:tc>
          <w:tcPr>
            <w:tcW w:w="700" w:type="dxa"/>
            <w:tcMar>
              <w:top w:w="0" w:type="dxa"/>
              <w:bottom w:w="0" w:type="dxa"/>
            </w:tcMar>
            <w:vAlign w:val="center"/>
          </w:tcPr>
          <w:p w:rsidR="002A6F4E" w:rsidRDefault="00D94E62">
            <w:pPr>
              <w:keepNext/>
              <w:keepLines/>
              <w:spacing w:after="0" w:line="240" w:lineRule="auto"/>
            </w:pPr>
            <w:r>
              <w:rPr>
                <w:sz w:val="18"/>
              </w:rPr>
              <w:t>V001</w:t>
            </w:r>
          </w:p>
        </w:tc>
        <w:tc>
          <w:tcPr>
            <w:tcW w:w="1860" w:type="dxa"/>
            <w:tcMar>
              <w:top w:w="0" w:type="dxa"/>
              <w:bottom w:w="0" w:type="dxa"/>
            </w:tcMar>
            <w:vAlign w:val="center"/>
          </w:tcPr>
          <w:p w:rsidR="002A6F4E" w:rsidRDefault="00D94E62">
            <w:pPr>
              <w:keepNext/>
              <w:keepLines/>
              <w:spacing w:after="0" w:line="240" w:lineRule="auto"/>
              <w:jc w:val="right"/>
            </w:pPr>
            <w:r>
              <w:rPr>
                <w:sz w:val="18"/>
              </w:rPr>
              <w:t>1.598.135,92</w:t>
            </w:r>
          </w:p>
        </w:tc>
        <w:tc>
          <w:tcPr>
            <w:tcW w:w="700" w:type="dxa"/>
            <w:tcMar>
              <w:top w:w="0" w:type="dxa"/>
              <w:bottom w:w="0" w:type="dxa"/>
            </w:tcMar>
            <w:vAlign w:val="center"/>
          </w:tcPr>
          <w:p w:rsidR="002A6F4E" w:rsidRDefault="00D94E62">
            <w:pPr>
              <w:keepNext/>
              <w:keepLines/>
              <w:spacing w:after="0" w:line="240" w:lineRule="auto"/>
              <w:jc w:val="right"/>
            </w:pPr>
            <w:r>
              <w:rPr>
                <w:sz w:val="18"/>
              </w:rPr>
              <w:t>-</w:t>
            </w:r>
          </w:p>
        </w:tc>
      </w:tr>
    </w:tbl>
    <w:p w:rsidR="002A6F4E" w:rsidRDefault="002A6F4E">
      <w:pPr>
        <w:spacing w:after="0"/>
      </w:pPr>
    </w:p>
    <w:p w:rsidR="002A6F4E" w:rsidRDefault="00D94E62" w:rsidP="00D70331">
      <w:pPr>
        <w:jc w:val="both"/>
      </w:pPr>
      <w:r>
        <w:t>Šifra V001 – Stanje obveza na početku izvještajnog razdoblja iznosilo je 1.598.135,92 eura.</w:t>
      </w:r>
    </w:p>
    <w:p w:rsidR="002A6F4E" w:rsidRDefault="00D94E62" w:rsidP="00D70331">
      <w:pPr>
        <w:jc w:val="both"/>
      </w:pPr>
      <w:r>
        <w:t> </w:t>
      </w:r>
    </w:p>
    <w:p w:rsidR="002A6F4E" w:rsidRDefault="002A6F4E"/>
    <w:p w:rsidR="002A6F4E" w:rsidRDefault="00D94E62">
      <w:pPr>
        <w:keepNext/>
        <w:spacing w:line="240" w:lineRule="auto"/>
        <w:jc w:val="center"/>
      </w:pPr>
      <w:r>
        <w:rPr>
          <w:sz w:val="28"/>
        </w:rPr>
        <w:t>Bilješka 43.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883"/>
        <w:gridCol w:w="4008"/>
        <w:gridCol w:w="882"/>
        <w:gridCol w:w="2345"/>
        <w:gridCol w:w="882"/>
      </w:tblGrid>
      <w:tr w:rsidR="002A6F4E">
        <w:trPr>
          <w:cantSplit/>
        </w:trPr>
        <w:tc>
          <w:tcPr>
            <w:tcW w:w="700" w:type="dxa"/>
            <w:shd w:val="clear" w:color="auto" w:fill="E7F0F9"/>
            <w:tcMar>
              <w:top w:w="0" w:type="dxa"/>
              <w:bottom w:w="0" w:type="dxa"/>
            </w:tcMar>
            <w:vAlign w:val="center"/>
          </w:tcPr>
          <w:p w:rsidR="002A6F4E" w:rsidRDefault="00D94E62">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2A6F4E" w:rsidRDefault="00D94E62">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2A6F4E" w:rsidRDefault="00D94E62">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2A6F4E" w:rsidRDefault="00D94E62">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rsidR="002A6F4E" w:rsidRDefault="00D94E62">
            <w:pPr>
              <w:keepNext/>
              <w:keepLines/>
              <w:spacing w:after="0" w:line="240" w:lineRule="auto"/>
              <w:jc w:val="center"/>
            </w:pPr>
            <w:r>
              <w:rPr>
                <w:b/>
                <w:sz w:val="18"/>
              </w:rPr>
              <w:t>Indeks (%)</w:t>
            </w:r>
          </w:p>
        </w:tc>
      </w:tr>
      <w:tr w:rsidR="002A6F4E">
        <w:trPr>
          <w:cantSplit/>
          <w:trHeight w:val="560"/>
        </w:trPr>
        <w:tc>
          <w:tcPr>
            <w:tcW w:w="700" w:type="dxa"/>
            <w:tcMar>
              <w:top w:w="0" w:type="dxa"/>
              <w:bottom w:w="0" w:type="dxa"/>
            </w:tcMar>
            <w:vAlign w:val="center"/>
          </w:tcPr>
          <w:p w:rsidR="002A6F4E" w:rsidRDefault="002A6F4E">
            <w:pPr>
              <w:keepNext/>
              <w:keepLines/>
              <w:spacing w:after="0" w:line="240" w:lineRule="auto"/>
            </w:pPr>
          </w:p>
        </w:tc>
        <w:tc>
          <w:tcPr>
            <w:tcW w:w="3180" w:type="dxa"/>
            <w:tcMar>
              <w:top w:w="0" w:type="dxa"/>
              <w:bottom w:w="0" w:type="dxa"/>
            </w:tcMar>
            <w:vAlign w:val="center"/>
          </w:tcPr>
          <w:p w:rsidR="002A6F4E" w:rsidRDefault="00D94E62">
            <w:pPr>
              <w:keepNext/>
              <w:keepLines/>
              <w:spacing w:after="0" w:line="240" w:lineRule="auto"/>
            </w:pPr>
            <w:r>
              <w:rPr>
                <w:sz w:val="18"/>
              </w:rPr>
              <w:t>Stanje obveza na kraju izvještajnog razdoblja (šifre V001+V002-V004) i (šifre V007+V009)</w:t>
            </w:r>
          </w:p>
        </w:tc>
        <w:tc>
          <w:tcPr>
            <w:tcW w:w="700" w:type="dxa"/>
            <w:tcMar>
              <w:top w:w="0" w:type="dxa"/>
              <w:bottom w:w="0" w:type="dxa"/>
            </w:tcMar>
            <w:vAlign w:val="center"/>
          </w:tcPr>
          <w:p w:rsidR="002A6F4E" w:rsidRDefault="00D94E62">
            <w:pPr>
              <w:keepNext/>
              <w:keepLines/>
              <w:spacing w:after="0" w:line="240" w:lineRule="auto"/>
            </w:pPr>
            <w:r>
              <w:rPr>
                <w:sz w:val="18"/>
              </w:rPr>
              <w:t>V006</w:t>
            </w:r>
          </w:p>
        </w:tc>
        <w:tc>
          <w:tcPr>
            <w:tcW w:w="1860" w:type="dxa"/>
            <w:tcMar>
              <w:top w:w="0" w:type="dxa"/>
              <w:bottom w:w="0" w:type="dxa"/>
            </w:tcMar>
            <w:vAlign w:val="center"/>
          </w:tcPr>
          <w:p w:rsidR="002A6F4E" w:rsidRDefault="00D94E62">
            <w:pPr>
              <w:keepNext/>
              <w:keepLines/>
              <w:spacing w:after="0" w:line="240" w:lineRule="auto"/>
              <w:jc w:val="right"/>
            </w:pPr>
            <w:r>
              <w:rPr>
                <w:sz w:val="18"/>
              </w:rPr>
              <w:t>1.253.093,99</w:t>
            </w:r>
          </w:p>
        </w:tc>
        <w:tc>
          <w:tcPr>
            <w:tcW w:w="700" w:type="dxa"/>
            <w:tcMar>
              <w:top w:w="0" w:type="dxa"/>
              <w:bottom w:w="0" w:type="dxa"/>
            </w:tcMar>
            <w:vAlign w:val="center"/>
          </w:tcPr>
          <w:p w:rsidR="002A6F4E" w:rsidRDefault="00D94E62">
            <w:pPr>
              <w:keepNext/>
              <w:keepLines/>
              <w:spacing w:after="0" w:line="240" w:lineRule="auto"/>
              <w:jc w:val="right"/>
            </w:pPr>
            <w:r>
              <w:rPr>
                <w:sz w:val="18"/>
              </w:rPr>
              <w:t>-</w:t>
            </w:r>
          </w:p>
        </w:tc>
      </w:tr>
    </w:tbl>
    <w:p w:rsidR="002A6F4E" w:rsidRDefault="002A6F4E">
      <w:pPr>
        <w:spacing w:after="0"/>
      </w:pPr>
    </w:p>
    <w:p w:rsidR="002A6F4E" w:rsidRDefault="00D94E62" w:rsidP="00D70331">
      <w:pPr>
        <w:jc w:val="both"/>
      </w:pPr>
      <w:r>
        <w:t>Stanje obveza na kraju izvještajnog razdoblja, odnosno na dan 31. prosinca 2025. godine iznosi 1.253.093,99 eura što predstavlja smanjenje za 21,59 % u odnosu na stanje 1. siječnja 2025. godine.</w:t>
      </w:r>
    </w:p>
    <w:p w:rsidR="002A6F4E" w:rsidRDefault="002A6F4E"/>
    <w:p w:rsidR="002A6F4E" w:rsidRDefault="00D94E62">
      <w:pPr>
        <w:keepNext/>
        <w:spacing w:line="240" w:lineRule="auto"/>
        <w:jc w:val="center"/>
      </w:pPr>
      <w:r>
        <w:rPr>
          <w:sz w:val="28"/>
        </w:rPr>
        <w:t>Bilješka 44.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883"/>
        <w:gridCol w:w="4008"/>
        <w:gridCol w:w="882"/>
        <w:gridCol w:w="2345"/>
        <w:gridCol w:w="882"/>
      </w:tblGrid>
      <w:tr w:rsidR="002A6F4E">
        <w:trPr>
          <w:cantSplit/>
        </w:trPr>
        <w:tc>
          <w:tcPr>
            <w:tcW w:w="700" w:type="dxa"/>
            <w:shd w:val="clear" w:color="auto" w:fill="E7F0F9"/>
            <w:tcMar>
              <w:top w:w="0" w:type="dxa"/>
              <w:bottom w:w="0" w:type="dxa"/>
            </w:tcMar>
            <w:vAlign w:val="center"/>
          </w:tcPr>
          <w:p w:rsidR="002A6F4E" w:rsidRDefault="00D94E62">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2A6F4E" w:rsidRDefault="00D94E62">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2A6F4E" w:rsidRDefault="00D94E62">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2A6F4E" w:rsidRDefault="00D94E62">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rsidR="002A6F4E" w:rsidRDefault="00D94E62">
            <w:pPr>
              <w:keepNext/>
              <w:keepLines/>
              <w:spacing w:after="0" w:line="240" w:lineRule="auto"/>
              <w:jc w:val="center"/>
            </w:pPr>
            <w:r>
              <w:rPr>
                <w:b/>
                <w:sz w:val="18"/>
              </w:rPr>
              <w:t>Indeks (%)</w:t>
            </w:r>
          </w:p>
        </w:tc>
      </w:tr>
      <w:tr w:rsidR="002A6F4E">
        <w:trPr>
          <w:cantSplit/>
          <w:trHeight w:val="560"/>
        </w:trPr>
        <w:tc>
          <w:tcPr>
            <w:tcW w:w="700" w:type="dxa"/>
            <w:tcMar>
              <w:top w:w="0" w:type="dxa"/>
              <w:bottom w:w="0" w:type="dxa"/>
            </w:tcMar>
            <w:vAlign w:val="center"/>
          </w:tcPr>
          <w:p w:rsidR="002A6F4E" w:rsidRDefault="002A6F4E">
            <w:pPr>
              <w:keepNext/>
              <w:keepLines/>
              <w:spacing w:after="0" w:line="240" w:lineRule="auto"/>
            </w:pPr>
          </w:p>
        </w:tc>
        <w:tc>
          <w:tcPr>
            <w:tcW w:w="3180" w:type="dxa"/>
            <w:tcMar>
              <w:top w:w="0" w:type="dxa"/>
              <w:bottom w:w="0" w:type="dxa"/>
            </w:tcMar>
            <w:vAlign w:val="center"/>
          </w:tcPr>
          <w:p w:rsidR="002A6F4E" w:rsidRDefault="00D94E62">
            <w:pPr>
              <w:keepNext/>
              <w:keepLines/>
              <w:spacing w:after="0" w:line="240" w:lineRule="auto"/>
            </w:pPr>
            <w:r>
              <w:rPr>
                <w:sz w:val="18"/>
              </w:rPr>
              <w:t>Stanje dospjelih obveza na kraju izvještajnog razdoblja (šifre V008+D23+D24 + 'D dio 25,26' + D27)</w:t>
            </w:r>
          </w:p>
        </w:tc>
        <w:tc>
          <w:tcPr>
            <w:tcW w:w="700" w:type="dxa"/>
            <w:tcMar>
              <w:top w:w="0" w:type="dxa"/>
              <w:bottom w:w="0" w:type="dxa"/>
            </w:tcMar>
            <w:vAlign w:val="center"/>
          </w:tcPr>
          <w:p w:rsidR="002A6F4E" w:rsidRDefault="00D94E62">
            <w:pPr>
              <w:keepNext/>
              <w:keepLines/>
              <w:spacing w:after="0" w:line="240" w:lineRule="auto"/>
            </w:pPr>
            <w:r>
              <w:rPr>
                <w:sz w:val="18"/>
              </w:rPr>
              <w:t>V007</w:t>
            </w:r>
          </w:p>
        </w:tc>
        <w:tc>
          <w:tcPr>
            <w:tcW w:w="1860" w:type="dxa"/>
            <w:tcMar>
              <w:top w:w="0" w:type="dxa"/>
              <w:bottom w:w="0" w:type="dxa"/>
            </w:tcMar>
            <w:vAlign w:val="center"/>
          </w:tcPr>
          <w:p w:rsidR="002A6F4E" w:rsidRDefault="00D94E62">
            <w:pPr>
              <w:keepNext/>
              <w:keepLines/>
              <w:spacing w:after="0" w:line="240" w:lineRule="auto"/>
              <w:jc w:val="right"/>
            </w:pPr>
            <w:r>
              <w:rPr>
                <w:sz w:val="18"/>
              </w:rPr>
              <w:t>192.173,43</w:t>
            </w:r>
          </w:p>
        </w:tc>
        <w:tc>
          <w:tcPr>
            <w:tcW w:w="700" w:type="dxa"/>
            <w:tcMar>
              <w:top w:w="0" w:type="dxa"/>
              <w:bottom w:w="0" w:type="dxa"/>
            </w:tcMar>
            <w:vAlign w:val="center"/>
          </w:tcPr>
          <w:p w:rsidR="002A6F4E" w:rsidRDefault="00D94E62">
            <w:pPr>
              <w:keepNext/>
              <w:keepLines/>
              <w:spacing w:after="0" w:line="240" w:lineRule="auto"/>
              <w:jc w:val="right"/>
            </w:pPr>
            <w:r>
              <w:rPr>
                <w:sz w:val="18"/>
              </w:rPr>
              <w:t>-</w:t>
            </w:r>
          </w:p>
        </w:tc>
      </w:tr>
    </w:tbl>
    <w:p w:rsidR="002A6F4E" w:rsidRDefault="002A6F4E">
      <w:pPr>
        <w:spacing w:after="0"/>
      </w:pPr>
    </w:p>
    <w:p w:rsidR="002A6F4E" w:rsidRDefault="00D94E62" w:rsidP="00D70331">
      <w:pPr>
        <w:jc w:val="both"/>
      </w:pPr>
      <w:r>
        <w:t>Šifra V007 – Stanje dospjelih obveza na kraju izvještajnog razdoblja iznosi 192.173,43 eura, a obuhvaća obveze za materijalne rashode te obveze za nabavu nefinancijske imovine i to:</w:t>
      </w:r>
    </w:p>
    <w:p w:rsidR="002A6F4E" w:rsidRDefault="00D94E62" w:rsidP="00D70331">
      <w:pPr>
        <w:jc w:val="both"/>
      </w:pPr>
      <w:r>
        <w:t> </w:t>
      </w:r>
    </w:p>
    <w:p w:rsidR="002A6F4E" w:rsidRDefault="00D94E62" w:rsidP="00D70331">
      <w:pPr>
        <w:jc w:val="both"/>
      </w:pPr>
      <w:r>
        <w:t>a)      obveze za materijalne rashode (232):</w:t>
      </w:r>
    </w:p>
    <w:p w:rsidR="002A6F4E" w:rsidRDefault="00D94E62" w:rsidP="00D70331">
      <w:pPr>
        <w:jc w:val="both"/>
      </w:pPr>
      <w:r>
        <w:t> </w:t>
      </w:r>
    </w:p>
    <w:p w:rsidR="002A6F4E" w:rsidRDefault="00D94E62" w:rsidP="00D70331">
      <w:pPr>
        <w:jc w:val="both"/>
      </w:pPr>
      <w:r>
        <w:t xml:space="preserve">1.      prekoračenje 1 do 60 dana – radi se o obvezama u iznosu od 79.168,59 eura za troškove održavanja kroz ugovore sa Komunalnim trgovačkim društvom </w:t>
      </w:r>
      <w:proofErr w:type="spellStart"/>
      <w:r>
        <w:t>Fužine</w:t>
      </w:r>
      <w:proofErr w:type="spellEnd"/>
      <w:r>
        <w:t xml:space="preserve"> d.o.o., </w:t>
      </w:r>
    </w:p>
    <w:p w:rsidR="002A6F4E" w:rsidRDefault="00D94E62" w:rsidP="00D70331">
      <w:pPr>
        <w:jc w:val="both"/>
      </w:pPr>
      <w:r>
        <w:t>2.      prekoračenje preko 360 dana – radi se o obvezama u iznosu od 61.830,58 eura za troškove otplate korištenja cestovnog zemljišta prema Hrvatskim autocestama d.o.o..</w:t>
      </w:r>
    </w:p>
    <w:p w:rsidR="002A6F4E" w:rsidRDefault="00D94E62" w:rsidP="00D70331">
      <w:pPr>
        <w:jc w:val="both"/>
      </w:pPr>
      <w:r>
        <w:t> </w:t>
      </w:r>
    </w:p>
    <w:p w:rsidR="002A6F4E" w:rsidRDefault="00D94E62" w:rsidP="00D70331">
      <w:pPr>
        <w:jc w:val="both"/>
      </w:pPr>
      <w:r>
        <w:t>b)      obveze za pomoći dane u inozemstvo i unutar općeg proračuna (236):</w:t>
      </w:r>
    </w:p>
    <w:p w:rsidR="002A6F4E" w:rsidRDefault="00D94E62" w:rsidP="00D70331">
      <w:pPr>
        <w:jc w:val="both"/>
      </w:pPr>
      <w:r>
        <w:t> </w:t>
      </w:r>
    </w:p>
    <w:p w:rsidR="002A6F4E" w:rsidRDefault="00D94E62" w:rsidP="00D70331">
      <w:pPr>
        <w:jc w:val="both"/>
      </w:pPr>
      <w:r>
        <w:t>1.      prekoračenje 1 do 60 dana – radi se nepodmirenoj obvezi sufinanciranja Županijskog bibliobusa za drugu polovicu 2025. godine u iznosu od 1.194,50 eura.</w:t>
      </w:r>
    </w:p>
    <w:p w:rsidR="002A6F4E" w:rsidRDefault="00D94E62" w:rsidP="00D70331">
      <w:pPr>
        <w:jc w:val="both"/>
      </w:pPr>
      <w:r>
        <w:t> </w:t>
      </w:r>
    </w:p>
    <w:p w:rsidR="002A6F4E" w:rsidRDefault="00D94E62" w:rsidP="00D70331">
      <w:pPr>
        <w:jc w:val="both"/>
      </w:pPr>
      <w:r>
        <w:t>c)      obveze za donacije, kazne, naknade šteta i kapitalne pomoći (237):</w:t>
      </w:r>
    </w:p>
    <w:p w:rsidR="002A6F4E" w:rsidRDefault="00D94E62" w:rsidP="00D70331">
      <w:pPr>
        <w:jc w:val="both"/>
      </w:pPr>
      <w:r>
        <w:t> </w:t>
      </w:r>
    </w:p>
    <w:p w:rsidR="002A6F4E" w:rsidRDefault="00D94E62" w:rsidP="00D70331">
      <w:pPr>
        <w:jc w:val="both"/>
      </w:pPr>
      <w:r>
        <w:t xml:space="preserve">1.      prekoračenje 1 do 60 dana  – radi se nepodmirenoj obvezi za podmirenje poklon bonova za nabavu školskog pribora učenicima, podmirenje troškova smještaja učenicima u učeničkim domovima </w:t>
      </w:r>
      <w:r w:rsidR="00D70331">
        <w:t>p</w:t>
      </w:r>
      <w:r>
        <w:t>oklon umirovljeni</w:t>
      </w:r>
      <w:r w:rsidR="00D70331">
        <w:t>ci</w:t>
      </w:r>
      <w:r>
        <w:t>ma za Božićne blagdane. </w:t>
      </w:r>
    </w:p>
    <w:p w:rsidR="002A6F4E" w:rsidRDefault="00D94E62">
      <w:r>
        <w:lastRenderedPageBreak/>
        <w:t> </w:t>
      </w:r>
    </w:p>
    <w:p w:rsidR="002A6F4E" w:rsidRDefault="00D94E62" w:rsidP="00D70331">
      <w:pPr>
        <w:jc w:val="both"/>
      </w:pPr>
      <w:r>
        <w:t>d)  obveze za donacije, kazne, naknade šteta i kapitalne pomoći (238):</w:t>
      </w:r>
    </w:p>
    <w:p w:rsidR="002A6F4E" w:rsidRDefault="00D94E62" w:rsidP="00D70331">
      <w:pPr>
        <w:jc w:val="both"/>
      </w:pPr>
      <w:r>
        <w:t> </w:t>
      </w:r>
    </w:p>
    <w:p w:rsidR="002A6F4E" w:rsidRDefault="00D94E62" w:rsidP="00D70331">
      <w:pPr>
        <w:jc w:val="both"/>
      </w:pPr>
      <w:r>
        <w:t xml:space="preserve">1.      prekoračenje 1 do 60 dana – radi se o za nepodmirene obveze prema komunalnom društvu Komunalac za sufinanciranje sanacije odlagališta Sović Laz 5 i sufinanciranje priključaka domaćinstvima sa područja Općine </w:t>
      </w:r>
      <w:proofErr w:type="spellStart"/>
      <w:r>
        <w:t>Fužuine</w:t>
      </w:r>
      <w:proofErr w:type="spellEnd"/>
      <w:r>
        <w:t xml:space="preserve"> na kanalizacijski kolektor – 9.982,95 eura</w:t>
      </w:r>
    </w:p>
    <w:p w:rsidR="002A6F4E" w:rsidRDefault="00D94E62" w:rsidP="00D70331">
      <w:pPr>
        <w:jc w:val="both"/>
      </w:pPr>
      <w:r>
        <w:t>2.      prekoračenje 61 do 180 dana – radi se o obvezi prema komunalnom društvu Komunalac za sufinanciranju sanacije odlagališta otpada Sović laz 5.600,88 eura.</w:t>
      </w:r>
    </w:p>
    <w:p w:rsidR="002A6F4E" w:rsidRDefault="00D94E62" w:rsidP="00D70331">
      <w:pPr>
        <w:jc w:val="both"/>
      </w:pPr>
      <w:r>
        <w:t> </w:t>
      </w:r>
    </w:p>
    <w:p w:rsidR="002A6F4E" w:rsidRDefault="00D94E62" w:rsidP="00D70331">
      <w:pPr>
        <w:jc w:val="both"/>
      </w:pPr>
      <w:r>
        <w:t>e)  nabavu nefinancijske imovine (24):</w:t>
      </w:r>
    </w:p>
    <w:p w:rsidR="002A6F4E" w:rsidRDefault="00D94E62" w:rsidP="00D70331">
      <w:pPr>
        <w:jc w:val="both"/>
      </w:pPr>
      <w:r>
        <w:t xml:space="preserve">1.        prekoračenje  1 do 60 dana – radi se o obvezi za izradu plana javne rasvjete za Općinu </w:t>
      </w:r>
      <w:proofErr w:type="spellStart"/>
      <w:r>
        <w:t>Fužine</w:t>
      </w:r>
      <w:proofErr w:type="spellEnd"/>
      <w:r>
        <w:t>, izrada projektne dokumentacije i postavu i montažu dječjih sprava 23.887,50 eura.</w:t>
      </w:r>
    </w:p>
    <w:p w:rsidR="002A6F4E" w:rsidRDefault="002A6F4E" w:rsidP="00D70331">
      <w:pPr>
        <w:jc w:val="both"/>
      </w:pPr>
    </w:p>
    <w:p w:rsidR="002A6F4E" w:rsidRDefault="00D94E62">
      <w:pPr>
        <w:keepNext/>
        <w:spacing w:line="240" w:lineRule="auto"/>
        <w:jc w:val="center"/>
      </w:pPr>
      <w:r>
        <w:rPr>
          <w:sz w:val="28"/>
        </w:rPr>
        <w:t>Bilješka 45.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883"/>
        <w:gridCol w:w="4008"/>
        <w:gridCol w:w="882"/>
        <w:gridCol w:w="2345"/>
        <w:gridCol w:w="882"/>
      </w:tblGrid>
      <w:tr w:rsidR="002A6F4E">
        <w:trPr>
          <w:cantSplit/>
        </w:trPr>
        <w:tc>
          <w:tcPr>
            <w:tcW w:w="700" w:type="dxa"/>
            <w:shd w:val="clear" w:color="auto" w:fill="E7F0F9"/>
            <w:tcMar>
              <w:top w:w="0" w:type="dxa"/>
              <w:bottom w:w="0" w:type="dxa"/>
            </w:tcMar>
            <w:vAlign w:val="center"/>
          </w:tcPr>
          <w:p w:rsidR="002A6F4E" w:rsidRDefault="00D94E62">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2A6F4E" w:rsidRDefault="00D94E62">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2A6F4E" w:rsidRDefault="00D94E62">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2A6F4E" w:rsidRDefault="00D94E62">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rsidR="002A6F4E" w:rsidRDefault="00D94E62">
            <w:pPr>
              <w:keepNext/>
              <w:keepLines/>
              <w:spacing w:after="0" w:line="240" w:lineRule="auto"/>
              <w:jc w:val="center"/>
            </w:pPr>
            <w:r>
              <w:rPr>
                <w:b/>
                <w:sz w:val="18"/>
              </w:rPr>
              <w:t>Indeks (%)</w:t>
            </w:r>
          </w:p>
        </w:tc>
      </w:tr>
      <w:tr w:rsidR="002A6F4E">
        <w:trPr>
          <w:cantSplit/>
          <w:trHeight w:val="560"/>
        </w:trPr>
        <w:tc>
          <w:tcPr>
            <w:tcW w:w="700" w:type="dxa"/>
            <w:tcMar>
              <w:top w:w="0" w:type="dxa"/>
              <w:bottom w:w="0" w:type="dxa"/>
            </w:tcMar>
            <w:vAlign w:val="center"/>
          </w:tcPr>
          <w:p w:rsidR="002A6F4E" w:rsidRDefault="002A6F4E">
            <w:pPr>
              <w:keepNext/>
              <w:keepLines/>
              <w:spacing w:after="0" w:line="240" w:lineRule="auto"/>
            </w:pPr>
          </w:p>
        </w:tc>
        <w:tc>
          <w:tcPr>
            <w:tcW w:w="3180" w:type="dxa"/>
            <w:tcMar>
              <w:top w:w="0" w:type="dxa"/>
              <w:bottom w:w="0" w:type="dxa"/>
            </w:tcMar>
            <w:vAlign w:val="center"/>
          </w:tcPr>
          <w:p w:rsidR="002A6F4E" w:rsidRDefault="00D94E62">
            <w:pPr>
              <w:keepNext/>
              <w:keepLines/>
              <w:spacing w:after="0" w:line="240" w:lineRule="auto"/>
            </w:pPr>
            <w:r>
              <w:rPr>
                <w:sz w:val="18"/>
              </w:rPr>
              <w:t>Stanje nedospjelih obveza na kraju izvještajnog razdoblja (šifre V010 + ND23 + ND24 + 'ND dio 25,26' + ND27)</w:t>
            </w:r>
          </w:p>
        </w:tc>
        <w:tc>
          <w:tcPr>
            <w:tcW w:w="700" w:type="dxa"/>
            <w:tcMar>
              <w:top w:w="0" w:type="dxa"/>
              <w:bottom w:w="0" w:type="dxa"/>
            </w:tcMar>
            <w:vAlign w:val="center"/>
          </w:tcPr>
          <w:p w:rsidR="002A6F4E" w:rsidRDefault="00D94E62">
            <w:pPr>
              <w:keepNext/>
              <w:keepLines/>
              <w:spacing w:after="0" w:line="240" w:lineRule="auto"/>
            </w:pPr>
            <w:r>
              <w:rPr>
                <w:sz w:val="18"/>
              </w:rPr>
              <w:t>V009</w:t>
            </w:r>
          </w:p>
        </w:tc>
        <w:tc>
          <w:tcPr>
            <w:tcW w:w="1860" w:type="dxa"/>
            <w:tcMar>
              <w:top w:w="0" w:type="dxa"/>
              <w:bottom w:w="0" w:type="dxa"/>
            </w:tcMar>
            <w:vAlign w:val="center"/>
          </w:tcPr>
          <w:p w:rsidR="002A6F4E" w:rsidRDefault="00D94E62">
            <w:pPr>
              <w:keepNext/>
              <w:keepLines/>
              <w:spacing w:after="0" w:line="240" w:lineRule="auto"/>
              <w:jc w:val="right"/>
            </w:pPr>
            <w:r>
              <w:rPr>
                <w:sz w:val="18"/>
              </w:rPr>
              <w:t>1.060.920,56</w:t>
            </w:r>
          </w:p>
        </w:tc>
        <w:tc>
          <w:tcPr>
            <w:tcW w:w="700" w:type="dxa"/>
            <w:tcMar>
              <w:top w:w="0" w:type="dxa"/>
              <w:bottom w:w="0" w:type="dxa"/>
            </w:tcMar>
            <w:vAlign w:val="center"/>
          </w:tcPr>
          <w:p w:rsidR="002A6F4E" w:rsidRDefault="00D94E62">
            <w:pPr>
              <w:keepNext/>
              <w:keepLines/>
              <w:spacing w:after="0" w:line="240" w:lineRule="auto"/>
              <w:jc w:val="right"/>
            </w:pPr>
            <w:r>
              <w:rPr>
                <w:sz w:val="18"/>
              </w:rPr>
              <w:t>-</w:t>
            </w:r>
          </w:p>
        </w:tc>
      </w:tr>
    </w:tbl>
    <w:p w:rsidR="002A6F4E" w:rsidRDefault="002A6F4E">
      <w:pPr>
        <w:spacing w:after="0"/>
      </w:pPr>
    </w:p>
    <w:p w:rsidR="002A6F4E" w:rsidRDefault="00D94E62">
      <w:r>
        <w:t>Šifra V009 – Stanje nedospjelih obveza na kraju izvještajnog razdoblja iznosi 1.060.920,56 eura. </w:t>
      </w:r>
    </w:p>
    <w:p w:rsidR="002A6F4E" w:rsidRDefault="00D94E62">
      <w:r>
        <w:t>-          obveze za rashode poslovanja                                     </w:t>
      </w:r>
      <w:r w:rsidR="00D70331">
        <w:t xml:space="preserve">       </w:t>
      </w:r>
      <w:r>
        <w:t xml:space="preserve">     123.443,10 eura</w:t>
      </w:r>
    </w:p>
    <w:p w:rsidR="002A6F4E" w:rsidRDefault="00D94E62">
      <w:r>
        <w:t>-          obveze na nabavu nefinancijske imovine                       </w:t>
      </w:r>
      <w:r w:rsidR="00D70331">
        <w:t xml:space="preserve">       </w:t>
      </w:r>
      <w:r>
        <w:t xml:space="preserve">      3.312,50 eura</w:t>
      </w:r>
    </w:p>
    <w:p w:rsidR="002A6F4E" w:rsidRDefault="00D94E62">
      <w:r>
        <w:t xml:space="preserve">-          obveze za financijsku imovinu                                      </w:t>
      </w:r>
      <w:r w:rsidR="00D70331">
        <w:t xml:space="preserve">       </w:t>
      </w:r>
      <w:r>
        <w:t xml:space="preserve">   916.439,59 eura</w:t>
      </w:r>
    </w:p>
    <w:p w:rsidR="002A6F4E" w:rsidRDefault="00D94E62">
      <w:r>
        <w:t>-          obveze za depozite - jamčevine                                 </w:t>
      </w:r>
      <w:r w:rsidR="00D70331">
        <w:t xml:space="preserve">        </w:t>
      </w:r>
      <w:r>
        <w:t xml:space="preserve">        17.725,37 eura</w:t>
      </w:r>
    </w:p>
    <w:p w:rsidR="002A6F4E" w:rsidRDefault="00D94E62">
      <w:r>
        <w:t xml:space="preserve">                                                                          UKUPNO:       </w:t>
      </w:r>
      <w:r w:rsidR="00D70331">
        <w:t xml:space="preserve">     </w:t>
      </w:r>
      <w:r>
        <w:t>  1.060.920,56 eura </w:t>
      </w:r>
    </w:p>
    <w:p w:rsidR="002A6F4E" w:rsidRDefault="00D94E62">
      <w:r>
        <w:t> </w:t>
      </w:r>
    </w:p>
    <w:p w:rsidR="002A6F4E" w:rsidRDefault="00D94E62">
      <w:pPr>
        <w:keepNext/>
        <w:spacing w:line="240" w:lineRule="auto"/>
        <w:jc w:val="center"/>
      </w:pPr>
      <w:r>
        <w:rPr>
          <w:sz w:val="28"/>
        </w:rPr>
        <w:t>Bilješka 46.</w:t>
      </w:r>
    </w:p>
    <w:p w:rsidR="002A6F4E" w:rsidRDefault="00D94E62">
      <w:pPr>
        <w:spacing w:line="240" w:lineRule="auto"/>
        <w:jc w:val="both"/>
      </w:pPr>
      <w:r>
        <w:rPr>
          <w:b/>
        </w:rPr>
        <w:t>EU izvještaj</w:t>
      </w:r>
    </w:p>
    <w:p w:rsidR="002A6F4E" w:rsidRDefault="00D94E62" w:rsidP="00D70331">
      <w:pPr>
        <w:jc w:val="both"/>
      </w:pPr>
      <w:r>
        <w:t>Pomoći temeljem prijenosa EU sredstava ostvarene su u ukupnom iznosu od 155.200,39 eura za Program ZAŽELI – prevencija institucionalizacije temeljem Ugovora o dodjeli bespovratnih sredstava i za Projekt Uređenja parka Za Goricom u sklopu TIP OPERACIJE  7.4.1. „ULAGANJA U POKRETANJE, POBOLJŠANJE ILI PROŠIRENJE LOKALNIH TEMELJNIH USLUGA ZA RURALNO STANOVNIŠTVO, u iznosu od 47.500,00 eura (Evropski poljoprivredni fond za ruralni razvoj (565), gdje je evidentiran samo ostvareni prihod obzirom da je cijeli Projekt realiziran u 2024. godini.</w:t>
      </w:r>
    </w:p>
    <w:p w:rsidR="002A6F4E" w:rsidRDefault="00D94E62" w:rsidP="00D70331">
      <w:pPr>
        <w:jc w:val="both"/>
      </w:pPr>
      <w:r>
        <w:lastRenderedPageBreak/>
        <w:t>Od toga je nacionalno sufinanciranje u iznosu od 16.155,07 eura (15%), a iz Europskog socijalnog fonda plus (561) je 91.545,32 eura (85%).</w:t>
      </w:r>
    </w:p>
    <w:p w:rsidR="002A6F4E" w:rsidRDefault="002A6F4E"/>
    <w:sectPr w:rsidR="002A6F4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6F4E"/>
    <w:rsid w:val="002A6F4E"/>
    <w:rsid w:val="00D347BA"/>
    <w:rsid w:val="00D70331"/>
    <w:rsid w:val="00D94E6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B425BF8-2913-41CF-A967-9DA5658D7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hr-HR" w:eastAsia="hr-H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CFA0A0-24BA-462C-8310-C81448FBF2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5001</Words>
  <Characters>28512</Characters>
  <Application>Microsoft Office Word</Application>
  <DocSecurity>0</DocSecurity>
  <Lines>237</Lines>
  <Paragraphs>66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33447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Jasminka Budiselić</dc:creator>
  <cp:lastModifiedBy>Računovodstvo OPF</cp:lastModifiedBy>
  <cp:revision>4</cp:revision>
  <dcterms:created xsi:type="dcterms:W3CDTF">2026-02-23T11:09:00Z</dcterms:created>
  <dcterms:modified xsi:type="dcterms:W3CDTF">2026-02-23T11:27:00Z</dcterms:modified>
</cp:coreProperties>
</file>